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550C98" w14:textId="78F589BD" w:rsidR="001A533C" w:rsidRDefault="00000000">
      <w:pPr>
        <w:pBdr>
          <w:top w:val="nil"/>
          <w:left w:val="nil"/>
          <w:bottom w:val="nil"/>
          <w:right w:val="nil"/>
          <w:between w:val="nil"/>
        </w:pBdr>
        <w:spacing w:after="120"/>
        <w:rPr>
          <w:rFonts w:ascii="Arial" w:eastAsia="Arial" w:hAnsi="Arial" w:cs="Arial"/>
          <w:b/>
          <w:sz w:val="24"/>
          <w:szCs w:val="24"/>
        </w:rPr>
      </w:pPr>
      <w:r>
        <w:rPr>
          <w:rFonts w:ascii="Arial" w:eastAsia="Arial" w:hAnsi="Arial" w:cs="Arial"/>
          <w:b/>
          <w:sz w:val="24"/>
          <w:szCs w:val="24"/>
        </w:rPr>
        <w:t>3GPP TSG-RAN WG2 Meeting #132</w:t>
      </w:r>
      <w:r w:rsidR="008F4D87">
        <w:rPr>
          <w:rFonts w:ascii="Arial" w:eastAsia="Arial" w:hAnsi="Arial" w:cs="Arial"/>
          <w:b/>
          <w:sz w:val="24"/>
          <w:szCs w:val="24"/>
        </w:rPr>
        <w:t xml:space="preserve"> </w:t>
      </w:r>
      <w:r w:rsidR="00DB52D0">
        <w:rPr>
          <w:rFonts w:ascii="Arial" w:eastAsia="Arial" w:hAnsi="Arial" w:cs="Arial"/>
          <w:b/>
          <w:sz w:val="24"/>
          <w:szCs w:val="24"/>
        </w:rPr>
        <w:t xml:space="preserve">    </w:t>
      </w:r>
      <w:r>
        <w:rPr>
          <w:rFonts w:ascii="Arial" w:eastAsia="Arial" w:hAnsi="Arial" w:cs="Arial"/>
          <w:b/>
          <w:sz w:val="24"/>
          <w:szCs w:val="24"/>
        </w:rPr>
        <w:t xml:space="preserve">                                                                    R2-2508185</w:t>
      </w:r>
    </w:p>
    <w:p w14:paraId="22D10C75" w14:textId="447C2F34" w:rsidR="001A533C" w:rsidRPr="00680921" w:rsidRDefault="00680921" w:rsidP="00680921">
      <w:pPr>
        <w:pStyle w:val="Header"/>
        <w:rPr>
          <w:lang w:val="en-US"/>
        </w:rPr>
      </w:pPr>
      <w:r>
        <w:rPr>
          <w:lang w:val="en-US"/>
        </w:rPr>
        <w:t xml:space="preserve">Dallas, </w:t>
      </w:r>
      <w:proofErr w:type="gramStart"/>
      <w:r>
        <w:rPr>
          <w:lang w:val="en-US"/>
        </w:rPr>
        <w:t>USA,  Nov.</w:t>
      </w:r>
      <w:proofErr w:type="gramEnd"/>
      <w:r>
        <w:rPr>
          <w:lang w:val="en-US"/>
        </w:rPr>
        <w:t xml:space="preserve"> 17</w:t>
      </w:r>
      <w:r w:rsidRPr="000D1053">
        <w:rPr>
          <w:vertAlign w:val="superscript"/>
          <w:lang w:val="en-US"/>
        </w:rPr>
        <w:t>th</w:t>
      </w:r>
      <w:r>
        <w:rPr>
          <w:vertAlign w:val="superscript"/>
          <w:lang w:val="en-US"/>
        </w:rPr>
        <w:t xml:space="preserve"> </w:t>
      </w:r>
      <w:r>
        <w:rPr>
          <w:lang w:val="en-US"/>
        </w:rPr>
        <w:t>- 21</w:t>
      </w:r>
      <w:r w:rsidRPr="00980BE5">
        <w:rPr>
          <w:vertAlign w:val="superscript"/>
          <w:lang w:val="en-US"/>
        </w:rPr>
        <w:t>st</w:t>
      </w:r>
      <w:r>
        <w:rPr>
          <w:rFonts w:eastAsia="Arial" w:cs="Arial"/>
          <w:color w:val="000000"/>
        </w:rPr>
        <w:t>, 2025</w:t>
      </w:r>
    </w:p>
    <w:p w14:paraId="48D7AF95" w14:textId="77777777" w:rsidR="001A533C" w:rsidRDefault="001A533C"/>
    <w:p w14:paraId="1577C11F" w14:textId="77777777" w:rsidR="001A533C" w:rsidRDefault="00000000">
      <w:pPr>
        <w:spacing w:after="120"/>
        <w:ind w:left="1985" w:hanging="1985"/>
        <w:rPr>
          <w:rFonts w:ascii="Arial" w:eastAsia="Arial" w:hAnsi="Arial" w:cs="Arial"/>
          <w:b/>
          <w:sz w:val="24"/>
          <w:szCs w:val="24"/>
        </w:rPr>
      </w:pPr>
      <w:r>
        <w:rPr>
          <w:rFonts w:ascii="Arial" w:eastAsia="Arial" w:hAnsi="Arial" w:cs="Arial"/>
          <w:b/>
          <w:sz w:val="24"/>
          <w:szCs w:val="24"/>
        </w:rPr>
        <w:t>Title</w:t>
      </w:r>
      <w:r>
        <w:rPr>
          <w:rFonts w:ascii="Arial" w:eastAsia="Arial" w:hAnsi="Arial" w:cs="Arial"/>
          <w:b/>
          <w:sz w:val="24"/>
          <w:szCs w:val="24"/>
        </w:rPr>
        <w:tab/>
      </w:r>
      <w:r>
        <w:rPr>
          <w:rFonts w:ascii="Arial" w:eastAsia="Arial" w:hAnsi="Arial" w:cs="Arial"/>
          <w:b/>
          <w:sz w:val="24"/>
          <w:szCs w:val="24"/>
        </w:rPr>
        <w:tab/>
        <w:t>Considerations on Data Transfer and LCM Framework for 6G AI/ML, Sensing and Other Services</w:t>
      </w:r>
    </w:p>
    <w:p w14:paraId="2E387B82" w14:textId="77777777" w:rsidR="001A533C" w:rsidRDefault="00000000">
      <w:pPr>
        <w:spacing w:after="120"/>
        <w:ind w:left="1985" w:hanging="1985"/>
        <w:rPr>
          <w:rFonts w:ascii="Arial" w:eastAsia="Arial" w:hAnsi="Arial" w:cs="Arial"/>
          <w:b/>
          <w:sz w:val="24"/>
          <w:szCs w:val="24"/>
        </w:rPr>
      </w:pPr>
      <w:r>
        <w:rPr>
          <w:rFonts w:ascii="Arial" w:eastAsia="Arial" w:hAnsi="Arial" w:cs="Arial"/>
          <w:b/>
          <w:sz w:val="24"/>
          <w:szCs w:val="24"/>
        </w:rPr>
        <w:t>Source</w:t>
      </w:r>
      <w:r>
        <w:rPr>
          <w:rFonts w:ascii="Arial" w:eastAsia="Arial" w:hAnsi="Arial" w:cs="Arial"/>
          <w:b/>
          <w:sz w:val="24"/>
          <w:szCs w:val="24"/>
        </w:rPr>
        <w:tab/>
        <w:t>LG Electronics</w:t>
      </w:r>
    </w:p>
    <w:p w14:paraId="47E6FB60" w14:textId="77777777" w:rsidR="001A533C" w:rsidRDefault="00000000">
      <w:pPr>
        <w:spacing w:after="120"/>
        <w:ind w:left="1985" w:hanging="1985"/>
        <w:rPr>
          <w:rFonts w:ascii="Arial" w:eastAsia="Arial" w:hAnsi="Arial" w:cs="Arial"/>
          <w:b/>
          <w:sz w:val="24"/>
          <w:szCs w:val="24"/>
        </w:rPr>
      </w:pPr>
      <w:r>
        <w:rPr>
          <w:rFonts w:ascii="Arial" w:eastAsia="Arial" w:hAnsi="Arial" w:cs="Arial"/>
          <w:b/>
          <w:sz w:val="24"/>
          <w:szCs w:val="24"/>
        </w:rPr>
        <w:t>Document for</w:t>
      </w:r>
      <w:r>
        <w:rPr>
          <w:rFonts w:ascii="Arial" w:eastAsia="Arial" w:hAnsi="Arial" w:cs="Arial"/>
          <w:b/>
          <w:sz w:val="24"/>
          <w:szCs w:val="24"/>
        </w:rPr>
        <w:tab/>
        <w:t>Discussion and Decision</w:t>
      </w:r>
    </w:p>
    <w:p w14:paraId="034660DA" w14:textId="77777777" w:rsidR="001A533C" w:rsidRDefault="00000000">
      <w:pPr>
        <w:spacing w:after="120"/>
        <w:ind w:left="1985" w:hanging="1985"/>
        <w:rPr>
          <w:rFonts w:ascii="Arial" w:eastAsia="Arial" w:hAnsi="Arial" w:cs="Arial"/>
          <w:b/>
          <w:sz w:val="24"/>
          <w:szCs w:val="24"/>
        </w:rPr>
      </w:pPr>
      <w:r>
        <w:rPr>
          <w:rFonts w:ascii="Arial" w:eastAsia="Arial" w:hAnsi="Arial" w:cs="Arial"/>
          <w:b/>
          <w:sz w:val="24"/>
          <w:szCs w:val="24"/>
        </w:rPr>
        <w:t>Agenda Item</w:t>
      </w:r>
      <w:r>
        <w:rPr>
          <w:rFonts w:ascii="Arial" w:eastAsia="Arial" w:hAnsi="Arial" w:cs="Arial"/>
          <w:b/>
          <w:sz w:val="24"/>
          <w:szCs w:val="24"/>
        </w:rPr>
        <w:tab/>
        <w:t>10.3.3.1 Data transfer, model transfer, and AIML</w:t>
      </w:r>
    </w:p>
    <w:p w14:paraId="3DFE4FE8" w14:textId="1D82798C" w:rsidR="001A533C" w:rsidRDefault="00000000">
      <w:pPr>
        <w:spacing w:after="120"/>
        <w:ind w:left="1985" w:hanging="1985"/>
      </w:pPr>
      <w:r>
        <w:rPr>
          <w:rFonts w:ascii="Arial" w:eastAsia="Arial" w:hAnsi="Arial" w:cs="Arial"/>
          <w:b/>
          <w:sz w:val="24"/>
          <w:szCs w:val="24"/>
        </w:rPr>
        <w:t>WID/SID</w:t>
      </w:r>
      <w:r>
        <w:rPr>
          <w:rFonts w:ascii="Arial" w:eastAsia="Arial" w:hAnsi="Arial" w:cs="Arial"/>
          <w:b/>
          <w:sz w:val="24"/>
          <w:szCs w:val="24"/>
        </w:rPr>
        <w:tab/>
      </w:r>
      <w:r w:rsidR="00C72FD3" w:rsidRPr="00C72FD3">
        <w:rPr>
          <w:rFonts w:ascii="Arial" w:eastAsia="Arial" w:hAnsi="Arial" w:cs="Arial"/>
          <w:b/>
          <w:sz w:val="24"/>
          <w:szCs w:val="24"/>
        </w:rPr>
        <w:t>6GR Rel-20 - Study on 6G Radio Access Technology</w:t>
      </w:r>
    </w:p>
    <w:p w14:paraId="604C4069" w14:textId="77777777" w:rsidR="001A533C" w:rsidRDefault="00000000">
      <w:pPr>
        <w:pStyle w:val="Heading1"/>
        <w:tabs>
          <w:tab w:val="left" w:pos="1440"/>
          <w:tab w:val="left" w:pos="0"/>
        </w:tabs>
      </w:pPr>
      <w:bookmarkStart w:id="0" w:name="_wn2ns2wlvqpk" w:colFirst="0" w:colLast="0"/>
      <w:bookmarkEnd w:id="0"/>
      <w:r>
        <w:t>1</w:t>
      </w:r>
      <w:r>
        <w:tab/>
        <w:t>Introduction</w:t>
      </w:r>
    </w:p>
    <w:p w14:paraId="33FE7082" w14:textId="77777777" w:rsidR="00A225DB" w:rsidRDefault="00A225DB" w:rsidP="00A225DB">
      <w:r>
        <w:t xml:space="preserve">At RAN2#131bis, it was agreed to study a standardized data collection framework with a common set of baseline requirements at least for AI/ML, and to extend the study to other non-AI/ML use cases/services such as sensing, SON/MDT, and </w:t>
      </w:r>
      <w:proofErr w:type="spellStart"/>
      <w:r>
        <w:t>QoE</w:t>
      </w:r>
      <w:proofErr w:type="spellEnd"/>
      <w:r>
        <w:t>.</w:t>
      </w:r>
    </w:p>
    <w:p w14:paraId="432EF9E7" w14:textId="77777777" w:rsidR="00A225DB" w:rsidRDefault="00A225DB" w:rsidP="00A225DB">
      <w:r>
        <w:t>The agreed baseline requirements include data security, integrity, and confidentiality, user data privacy and consent, MNO control and visibility of the data transfer process, minimal UE impact, and a future-proof and extendable design.</w:t>
      </w:r>
    </w:p>
    <w:p w14:paraId="3E2DB2C4" w14:textId="03C12E54" w:rsidR="00C72FD3" w:rsidRDefault="00A225DB" w:rsidP="00A225DB">
      <w:r>
        <w:t xml:space="preserve">Furthermore, it was agreed to study termination points (i.e., producers, consumers, and collection points) and protocol options (e.g., IP vs. non-IP), and to consider aspects such as data size, frequency, </w:t>
      </w:r>
      <w:r w:rsidR="00C72FD3">
        <w:t>latency</w:t>
      </w:r>
      <w:r>
        <w:t>, and destination for various types of data.</w:t>
      </w:r>
    </w:p>
    <w:tbl>
      <w:tblPr>
        <w:tblStyle w:val="a"/>
        <w:tblW w:w="10305"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5"/>
      </w:tblGrid>
      <w:tr w:rsidR="00A225DB" w14:paraId="44380564" w14:textId="77777777" w:rsidTr="00104739">
        <w:trPr>
          <w:trHeight w:val="320"/>
        </w:trPr>
        <w:tc>
          <w:tcPr>
            <w:tcW w:w="10305" w:type="dxa"/>
          </w:tcPr>
          <w:p w14:paraId="4364E6F8" w14:textId="77777777" w:rsidR="00A225DB" w:rsidRPr="00E23AF9" w:rsidRDefault="00A225DB" w:rsidP="00104739">
            <w:pPr>
              <w:pStyle w:val="Doc-text2"/>
              <w:ind w:left="363"/>
              <w:rPr>
                <w:b/>
                <w:bCs/>
              </w:rPr>
            </w:pPr>
            <w:r w:rsidRPr="00E23AF9">
              <w:rPr>
                <w:b/>
                <w:bCs/>
              </w:rPr>
              <w:t>Agreements</w:t>
            </w:r>
          </w:p>
          <w:p w14:paraId="10FD8280" w14:textId="77777777" w:rsidR="00A225DB" w:rsidRPr="00E06FAD" w:rsidRDefault="00A225DB" w:rsidP="00104739">
            <w:pPr>
              <w:pStyle w:val="Doc-text2"/>
              <w:ind w:left="363"/>
            </w:pPr>
            <w:r w:rsidRPr="00E06FAD">
              <w:t xml:space="preserve">1.  </w:t>
            </w:r>
            <w:r w:rsidRPr="00E06FAD">
              <w:tab/>
              <w:t>Study the standardized data collection framework with these requirements as a baseline at least for AI/ML</w:t>
            </w:r>
          </w:p>
          <w:p w14:paraId="68842A23" w14:textId="77777777" w:rsidR="00A225DB" w:rsidRPr="00E06FAD" w:rsidRDefault="00A225DB" w:rsidP="00104739">
            <w:pPr>
              <w:pStyle w:val="Doc-text2"/>
              <w:numPr>
                <w:ilvl w:val="0"/>
                <w:numId w:val="11"/>
              </w:numPr>
              <w:overflowPunct/>
              <w:autoSpaceDE/>
              <w:autoSpaceDN/>
              <w:adjustRightInd/>
              <w:ind w:left="720"/>
              <w:textAlignment w:val="auto"/>
            </w:pPr>
            <w:r w:rsidRPr="00E06FAD">
              <w:t>The data collected is secured and data integrity and confidentiality for that data is ensured.</w:t>
            </w:r>
          </w:p>
          <w:p w14:paraId="31515F0D" w14:textId="77777777" w:rsidR="00A225DB" w:rsidRPr="00E06FAD" w:rsidRDefault="00A225DB" w:rsidP="00104739">
            <w:pPr>
              <w:pStyle w:val="Doc-text2"/>
              <w:numPr>
                <w:ilvl w:val="0"/>
                <w:numId w:val="11"/>
              </w:numPr>
              <w:overflowPunct/>
              <w:autoSpaceDE/>
              <w:autoSpaceDN/>
              <w:adjustRightInd/>
              <w:ind w:left="720"/>
              <w:textAlignment w:val="auto"/>
            </w:pPr>
            <w:r w:rsidRPr="00E06FAD">
              <w:t>User data privacy, anonymity and user consent is respected.</w:t>
            </w:r>
          </w:p>
          <w:p w14:paraId="19B84380" w14:textId="77777777" w:rsidR="00A225DB" w:rsidRPr="00E06FAD" w:rsidRDefault="00A225DB" w:rsidP="00104739">
            <w:pPr>
              <w:pStyle w:val="Doc-text2"/>
              <w:numPr>
                <w:ilvl w:val="0"/>
                <w:numId w:val="11"/>
              </w:numPr>
              <w:overflowPunct/>
              <w:autoSpaceDE/>
              <w:autoSpaceDN/>
              <w:adjustRightInd/>
              <w:ind w:left="720"/>
              <w:textAlignment w:val="auto"/>
            </w:pPr>
            <w:r w:rsidRPr="00E06FAD">
              <w:t>The MNO has full control of the standardized data collection transfer process and can manage data transfer to the server for UE side data collection, without the need of Service Level Agreement (SLA) for this purpose</w:t>
            </w:r>
          </w:p>
          <w:p w14:paraId="4D024DCE" w14:textId="77777777" w:rsidR="00A225DB" w:rsidRPr="00E06FAD" w:rsidRDefault="00A225DB" w:rsidP="00104739">
            <w:pPr>
              <w:pStyle w:val="Doc-text2"/>
              <w:numPr>
                <w:ilvl w:val="0"/>
                <w:numId w:val="11"/>
              </w:numPr>
              <w:overflowPunct/>
              <w:autoSpaceDE/>
              <w:autoSpaceDN/>
              <w:adjustRightInd/>
              <w:ind w:left="720"/>
              <w:textAlignment w:val="auto"/>
            </w:pPr>
            <w:r w:rsidRPr="00E06FAD">
              <w:t xml:space="preserve">This includes initiating, terminating, and fully managing data transfer. </w:t>
            </w:r>
          </w:p>
          <w:p w14:paraId="6C6FBC8A" w14:textId="77777777" w:rsidR="00A225DB" w:rsidRPr="00E06FAD" w:rsidRDefault="00A225DB" w:rsidP="00104739">
            <w:pPr>
              <w:pStyle w:val="Doc-text2"/>
              <w:numPr>
                <w:ilvl w:val="0"/>
                <w:numId w:val="11"/>
              </w:numPr>
              <w:overflowPunct/>
              <w:autoSpaceDE/>
              <w:autoSpaceDN/>
              <w:adjustRightInd/>
              <w:ind w:left="720"/>
              <w:textAlignment w:val="auto"/>
            </w:pPr>
            <w:r w:rsidRPr="00E06FAD">
              <w:t>MNO has full visibility for standardized data.</w:t>
            </w:r>
          </w:p>
          <w:p w14:paraId="15A0D8C5" w14:textId="77777777" w:rsidR="00A225DB" w:rsidRDefault="00A225DB" w:rsidP="00104739">
            <w:pPr>
              <w:pStyle w:val="Doc-text2"/>
              <w:numPr>
                <w:ilvl w:val="0"/>
                <w:numId w:val="11"/>
              </w:numPr>
              <w:overflowPunct/>
              <w:autoSpaceDE/>
              <w:autoSpaceDN/>
              <w:adjustRightInd/>
              <w:ind w:left="720"/>
              <w:textAlignment w:val="auto"/>
            </w:pPr>
            <w:r w:rsidRPr="00E06FAD">
              <w:t xml:space="preserve">The design is future-proof and extendable. </w:t>
            </w:r>
          </w:p>
          <w:p w14:paraId="56A8C0ED" w14:textId="77777777" w:rsidR="00A225DB" w:rsidRPr="00311B73" w:rsidRDefault="00A225DB" w:rsidP="00104739">
            <w:pPr>
              <w:pStyle w:val="Doc-text2"/>
              <w:numPr>
                <w:ilvl w:val="0"/>
                <w:numId w:val="11"/>
              </w:numPr>
              <w:overflowPunct/>
              <w:autoSpaceDE/>
              <w:autoSpaceDN/>
              <w:adjustRightInd/>
              <w:ind w:left="720"/>
              <w:textAlignment w:val="auto"/>
            </w:pPr>
            <w:r w:rsidRPr="00311B73">
              <w:t xml:space="preserve">The UE data collection should </w:t>
            </w:r>
            <w:r>
              <w:t>minimize</w:t>
            </w:r>
            <w:r w:rsidRPr="00311B73">
              <w:t xml:space="preserve"> impact to the UE battery, </w:t>
            </w:r>
            <w:r>
              <w:t>UE p</w:t>
            </w:r>
            <w:r w:rsidRPr="00311B73">
              <w:t>rocessing and memory utilization.</w:t>
            </w:r>
          </w:p>
          <w:p w14:paraId="22FE2941" w14:textId="77777777" w:rsidR="00A225DB" w:rsidRPr="00E06FAD" w:rsidRDefault="00A225DB" w:rsidP="00104739">
            <w:pPr>
              <w:pStyle w:val="Doc-text2"/>
              <w:numPr>
                <w:ilvl w:val="0"/>
                <w:numId w:val="11"/>
              </w:numPr>
              <w:overflowPunct/>
              <w:autoSpaceDE/>
              <w:autoSpaceDN/>
              <w:adjustRightInd/>
              <w:ind w:left="720"/>
              <w:textAlignment w:val="auto"/>
            </w:pPr>
            <w:r w:rsidRPr="00311B73">
              <w:t xml:space="preserve">UE data collection should </w:t>
            </w:r>
            <w:r>
              <w:t>minimize</w:t>
            </w:r>
            <w:r w:rsidRPr="00311B73">
              <w:t xml:space="preserve"> impact to </w:t>
            </w:r>
            <w:r>
              <w:t>user traffic transmission and power saving features</w:t>
            </w:r>
          </w:p>
          <w:p w14:paraId="0B815E56" w14:textId="77777777" w:rsidR="00A225DB" w:rsidRPr="00E06FAD" w:rsidRDefault="00A225DB" w:rsidP="00104739">
            <w:pPr>
              <w:pStyle w:val="Doc-text2"/>
              <w:ind w:left="363"/>
            </w:pPr>
            <w:r w:rsidRPr="00E06FAD">
              <w:tab/>
            </w:r>
            <w:r>
              <w:t>These</w:t>
            </w:r>
            <w:r w:rsidRPr="00E06FAD">
              <w:t xml:space="preserve"> requirements can apply to both UE and NW sided data collection</w:t>
            </w:r>
            <w:r>
              <w:t xml:space="preserve">.  FFS if some don’t apply to both.   </w:t>
            </w:r>
          </w:p>
          <w:p w14:paraId="7D0CB3CC" w14:textId="77777777" w:rsidR="00A225DB" w:rsidRDefault="00A225DB" w:rsidP="00104739">
            <w:pPr>
              <w:pStyle w:val="Doc-text2"/>
              <w:ind w:left="363"/>
            </w:pPr>
            <w:r>
              <w:t>2</w:t>
            </w:r>
            <w:r w:rsidRPr="00E06FAD">
              <w:t>.</w:t>
            </w:r>
            <w:r w:rsidRPr="00E06FAD">
              <w:tab/>
              <w:t>Study further requirements of other non-AI/ML use cases</w:t>
            </w:r>
            <w:r>
              <w:t>/services</w:t>
            </w:r>
            <w:r w:rsidRPr="00E06FAD">
              <w:t xml:space="preserve"> and understand if we can have more common requirements across different use cases.   </w:t>
            </w:r>
          </w:p>
          <w:p w14:paraId="6B5A9FE7" w14:textId="77777777" w:rsidR="00A225DB" w:rsidRDefault="00A225DB" w:rsidP="00104739">
            <w:pPr>
              <w:pStyle w:val="Doc-text2"/>
              <w:ind w:left="363"/>
            </w:pPr>
            <w:r>
              <w:t>3.</w:t>
            </w:r>
            <w:r>
              <w:tab/>
              <w:t xml:space="preserve">Study termination points (i.e. understand who </w:t>
            </w:r>
            <w:proofErr w:type="gramStart"/>
            <w:r>
              <w:t>are producers</w:t>
            </w:r>
            <w:proofErr w:type="gramEnd"/>
            <w:r>
              <w:t xml:space="preserve">, consumers of the data, data collection points.  Understand requirements of use cases sensing, </w:t>
            </w:r>
            <w:proofErr w:type="spellStart"/>
            <w:r>
              <w:t>aI</w:t>
            </w:r>
            <w:proofErr w:type="spellEnd"/>
            <w:r>
              <w:t>/ml, son/</w:t>
            </w:r>
            <w:proofErr w:type="spellStart"/>
            <w:r>
              <w:t>mdt</w:t>
            </w:r>
            <w:proofErr w:type="spellEnd"/>
            <w:r>
              <w:t xml:space="preserve">, </w:t>
            </w:r>
            <w:proofErr w:type="spellStart"/>
            <w:r>
              <w:t>QoE</w:t>
            </w:r>
            <w:proofErr w:type="spellEnd"/>
            <w:r>
              <w:t xml:space="preserve"> etc) and protocol used for data transfer (e.g. IP vs. non-IP). </w:t>
            </w:r>
          </w:p>
          <w:p w14:paraId="0EB5586F" w14:textId="77777777" w:rsidR="00A225DB" w:rsidRPr="0053059F" w:rsidRDefault="00A225DB" w:rsidP="00104739">
            <w:pPr>
              <w:pStyle w:val="Doc-text2"/>
              <w:ind w:left="363"/>
            </w:pPr>
            <w:r w:rsidRPr="0053059F">
              <w:t>4.</w:t>
            </w:r>
            <w:r w:rsidRPr="0053059F">
              <w:tab/>
              <w:t xml:space="preserve">Study model transfer/delivery requirements/functions </w:t>
            </w:r>
          </w:p>
          <w:p w14:paraId="5E0E4302" w14:textId="77777777" w:rsidR="00A225DB" w:rsidRDefault="00A225DB" w:rsidP="00104739">
            <w:pPr>
              <w:tabs>
                <w:tab w:val="left" w:pos="1622"/>
              </w:tabs>
              <w:rPr>
                <w:rFonts w:ascii="Arial" w:eastAsia="Arial" w:hAnsi="Arial" w:cs="Arial"/>
              </w:rPr>
            </w:pPr>
          </w:p>
          <w:p w14:paraId="642D95C4" w14:textId="77777777" w:rsidR="00A225DB" w:rsidRDefault="00A225DB" w:rsidP="00104739">
            <w:pPr>
              <w:numPr>
                <w:ilvl w:val="0"/>
                <w:numId w:val="6"/>
              </w:numPr>
              <w:spacing w:before="60"/>
              <w:ind w:left="360"/>
              <w:rPr>
                <w:rFonts w:ascii="Noto Sans Symbols" w:eastAsia="Noto Sans Symbols" w:hAnsi="Noto Sans Symbols" w:cs="Noto Sans Symbols"/>
                <w:b/>
                <w:sz w:val="22"/>
                <w:szCs w:val="22"/>
              </w:rPr>
            </w:pPr>
            <w:r>
              <w:rPr>
                <w:rFonts w:ascii="Arial" w:eastAsia="Arial" w:hAnsi="Arial" w:cs="Arial"/>
                <w:b/>
              </w:rPr>
              <w:t>For next meeting companies can consider at least the following aspects:</w:t>
            </w:r>
          </w:p>
          <w:p w14:paraId="43D76B93" w14:textId="77777777" w:rsidR="00A225DB" w:rsidRDefault="00A225DB" w:rsidP="00104739">
            <w:pPr>
              <w:numPr>
                <w:ilvl w:val="0"/>
                <w:numId w:val="5"/>
              </w:numPr>
              <w:tabs>
                <w:tab w:val="left" w:pos="1622"/>
              </w:tabs>
              <w:rPr>
                <w:rFonts w:ascii="Arial" w:eastAsia="Arial" w:hAnsi="Arial" w:cs="Arial"/>
              </w:rPr>
            </w:pPr>
            <w:r>
              <w:rPr>
                <w:rFonts w:ascii="Arial" w:eastAsia="Arial" w:hAnsi="Arial" w:cs="Arial"/>
              </w:rPr>
              <w:t xml:space="preserve">Diverse types of data and its services/use case scenarios (e.g., AI/ML related data, sensing data, </w:t>
            </w:r>
            <w:proofErr w:type="spellStart"/>
            <w:r>
              <w:rPr>
                <w:rFonts w:ascii="Arial" w:eastAsia="Arial" w:hAnsi="Arial" w:cs="Arial"/>
              </w:rPr>
              <w:t>QoE</w:t>
            </w:r>
            <w:proofErr w:type="spellEnd"/>
            <w:r>
              <w:rPr>
                <w:rFonts w:ascii="Arial" w:eastAsia="Arial" w:hAnsi="Arial" w:cs="Arial"/>
              </w:rPr>
              <w:t xml:space="preserve">, SON/MDT, </w:t>
            </w:r>
            <w:proofErr w:type="spellStart"/>
            <w:r>
              <w:rPr>
                <w:rFonts w:ascii="Arial" w:eastAsia="Arial" w:hAnsi="Arial" w:cs="Arial"/>
              </w:rPr>
              <w:t>etc</w:t>
            </w:r>
            <w:proofErr w:type="spellEnd"/>
            <w:proofErr w:type="gramStart"/>
            <w:r>
              <w:rPr>
                <w:rFonts w:ascii="Arial" w:eastAsia="Arial" w:hAnsi="Arial" w:cs="Arial"/>
              </w:rPr>
              <w:t>);</w:t>
            </w:r>
            <w:proofErr w:type="gramEnd"/>
            <w:r>
              <w:rPr>
                <w:rFonts w:ascii="Arial" w:eastAsia="Arial" w:hAnsi="Arial" w:cs="Arial"/>
              </w:rPr>
              <w:t xml:space="preserve"> </w:t>
            </w:r>
          </w:p>
          <w:p w14:paraId="3A46CB68" w14:textId="77777777" w:rsidR="00A225DB" w:rsidRDefault="00A225DB" w:rsidP="00104739">
            <w:pPr>
              <w:numPr>
                <w:ilvl w:val="1"/>
                <w:numId w:val="5"/>
              </w:numPr>
              <w:tabs>
                <w:tab w:val="left" w:pos="1622"/>
              </w:tabs>
              <w:ind w:left="990" w:hanging="270"/>
              <w:rPr>
                <w:rFonts w:ascii="Arial" w:eastAsia="Arial" w:hAnsi="Arial" w:cs="Arial"/>
              </w:rPr>
            </w:pPr>
            <w:r>
              <w:rPr>
                <w:rFonts w:ascii="Arial" w:eastAsia="Arial" w:hAnsi="Arial" w:cs="Arial"/>
              </w:rPr>
              <w:t xml:space="preserve">For each type of data, study: </w:t>
            </w:r>
          </w:p>
          <w:p w14:paraId="48F628ED" w14:textId="77777777" w:rsidR="00A225DB" w:rsidRDefault="00A225DB" w:rsidP="00104739">
            <w:pPr>
              <w:numPr>
                <w:ilvl w:val="1"/>
                <w:numId w:val="5"/>
              </w:numPr>
              <w:tabs>
                <w:tab w:val="left" w:pos="1622"/>
              </w:tabs>
              <w:ind w:left="990" w:hanging="270"/>
              <w:rPr>
                <w:rFonts w:ascii="Arial" w:eastAsia="Arial" w:hAnsi="Arial" w:cs="Arial"/>
              </w:rPr>
            </w:pPr>
            <w:r>
              <w:rPr>
                <w:rFonts w:ascii="Arial" w:eastAsia="Arial" w:hAnsi="Arial" w:cs="Arial"/>
              </w:rPr>
              <w:t xml:space="preserve">Applicable use case(s) </w:t>
            </w:r>
          </w:p>
          <w:p w14:paraId="268CE544" w14:textId="77777777" w:rsidR="00A225DB" w:rsidRDefault="00A225DB" w:rsidP="00104739">
            <w:pPr>
              <w:numPr>
                <w:ilvl w:val="1"/>
                <w:numId w:val="5"/>
              </w:numPr>
              <w:tabs>
                <w:tab w:val="left" w:pos="1622"/>
              </w:tabs>
              <w:ind w:left="990" w:hanging="270"/>
              <w:rPr>
                <w:rFonts w:ascii="Arial" w:eastAsia="Arial" w:hAnsi="Arial" w:cs="Arial"/>
              </w:rPr>
            </w:pPr>
            <w:r>
              <w:rPr>
                <w:rFonts w:ascii="Arial" w:eastAsia="Arial" w:hAnsi="Arial" w:cs="Arial"/>
              </w:rPr>
              <w:t xml:space="preserve">End point pairs (i.e., producer and consumer), including UE and RAN, UE and CN, RAN and CN, RAN and </w:t>
            </w:r>
            <w:proofErr w:type="gramStart"/>
            <w:r>
              <w:rPr>
                <w:rFonts w:ascii="Arial" w:eastAsia="Arial" w:hAnsi="Arial" w:cs="Arial"/>
              </w:rPr>
              <w:t>OAM;</w:t>
            </w:r>
            <w:proofErr w:type="gramEnd"/>
            <w:r>
              <w:rPr>
                <w:rFonts w:ascii="Arial" w:eastAsia="Arial" w:hAnsi="Arial" w:cs="Arial"/>
              </w:rPr>
              <w:t xml:space="preserve"> </w:t>
            </w:r>
          </w:p>
          <w:p w14:paraId="06441B07" w14:textId="77777777" w:rsidR="00A225DB" w:rsidRDefault="00A225DB" w:rsidP="00104739">
            <w:pPr>
              <w:numPr>
                <w:ilvl w:val="1"/>
                <w:numId w:val="5"/>
              </w:numPr>
              <w:tabs>
                <w:tab w:val="left" w:pos="1622"/>
              </w:tabs>
              <w:ind w:left="990" w:hanging="270"/>
              <w:rPr>
                <w:rFonts w:ascii="Arial" w:eastAsia="Arial" w:hAnsi="Arial" w:cs="Arial"/>
              </w:rPr>
            </w:pPr>
            <w:r>
              <w:rPr>
                <w:rFonts w:ascii="Arial" w:eastAsia="Arial" w:hAnsi="Arial" w:cs="Arial"/>
              </w:rPr>
              <w:t xml:space="preserve">Data size in a single reporting and total data size </w:t>
            </w:r>
          </w:p>
          <w:p w14:paraId="7DCD8D4B" w14:textId="77777777" w:rsidR="00A225DB" w:rsidRDefault="00A225DB" w:rsidP="00104739">
            <w:pPr>
              <w:numPr>
                <w:ilvl w:val="1"/>
                <w:numId w:val="5"/>
              </w:numPr>
              <w:tabs>
                <w:tab w:val="left" w:pos="1622"/>
              </w:tabs>
              <w:ind w:left="990" w:hanging="270"/>
              <w:rPr>
                <w:rFonts w:ascii="Arial" w:eastAsia="Arial" w:hAnsi="Arial" w:cs="Arial"/>
              </w:rPr>
            </w:pPr>
            <w:r>
              <w:rPr>
                <w:rFonts w:ascii="Arial" w:eastAsia="Arial" w:hAnsi="Arial" w:cs="Arial"/>
              </w:rPr>
              <w:t xml:space="preserve">Frequency of data </w:t>
            </w:r>
            <w:proofErr w:type="gramStart"/>
            <w:r>
              <w:rPr>
                <w:rFonts w:ascii="Arial" w:eastAsia="Arial" w:hAnsi="Arial" w:cs="Arial"/>
              </w:rPr>
              <w:t>reporting;</w:t>
            </w:r>
            <w:proofErr w:type="gramEnd"/>
            <w:r>
              <w:rPr>
                <w:rFonts w:ascii="Arial" w:eastAsia="Arial" w:hAnsi="Arial" w:cs="Arial"/>
              </w:rPr>
              <w:t xml:space="preserve"> </w:t>
            </w:r>
          </w:p>
          <w:p w14:paraId="51B26776" w14:textId="77777777" w:rsidR="00A225DB" w:rsidRDefault="00A225DB" w:rsidP="00104739">
            <w:pPr>
              <w:numPr>
                <w:ilvl w:val="1"/>
                <w:numId w:val="5"/>
              </w:numPr>
              <w:tabs>
                <w:tab w:val="left" w:pos="1622"/>
              </w:tabs>
              <w:spacing w:after="100"/>
              <w:ind w:left="990" w:hanging="270"/>
              <w:rPr>
                <w:rFonts w:ascii="Arial" w:eastAsia="Arial" w:hAnsi="Arial" w:cs="Arial"/>
              </w:rPr>
            </w:pPr>
            <w:r>
              <w:rPr>
                <w:rFonts w:ascii="Arial" w:eastAsia="Arial" w:hAnsi="Arial" w:cs="Arial"/>
              </w:rPr>
              <w:t xml:space="preserve">QoS requirements (e.g., latency, priority, GBR, packet error rate, </w:t>
            </w:r>
            <w:proofErr w:type="spellStart"/>
            <w:r>
              <w:rPr>
                <w:rFonts w:ascii="Arial" w:eastAsia="Arial" w:hAnsi="Arial" w:cs="Arial"/>
              </w:rPr>
              <w:t>etc</w:t>
            </w:r>
            <w:proofErr w:type="spellEnd"/>
            <w:r>
              <w:rPr>
                <w:rFonts w:ascii="Arial" w:eastAsia="Arial" w:hAnsi="Arial" w:cs="Arial"/>
              </w:rPr>
              <w:t xml:space="preserve">); </w:t>
            </w:r>
          </w:p>
        </w:tc>
      </w:tr>
    </w:tbl>
    <w:p w14:paraId="3A307283" w14:textId="77777777" w:rsidR="00A225DB" w:rsidRDefault="00A225DB" w:rsidP="00A225DB"/>
    <w:p w14:paraId="1800E75F" w14:textId="251AFBA6" w:rsidR="00C72FD3" w:rsidRDefault="00A225DB" w:rsidP="00A225DB">
      <w:r>
        <w:rPr>
          <w:lang w:val="en-US"/>
        </w:rPr>
        <w:t xml:space="preserve">At RAN2#131bis, </w:t>
      </w:r>
      <w:r w:rsidRPr="00A225DB">
        <w:t>RAN2 also agreed to study a 6G AI/ML LCM framework that supports at least the following functions and procedures:</w:t>
      </w:r>
      <w:r>
        <w:t xml:space="preserve"> (1) UE AI/ML capabilities exchange; (2) Applicable functionality reporting; (3) Inference configuration and reporting; (4) Performance monitoring configuration and reporting; (5) Functionality activation, deactivation, and fallback/switching between AI/ML and non-AI/ML functionalities.</w:t>
      </w:r>
    </w:p>
    <w:tbl>
      <w:tblPr>
        <w:tblStyle w:val="TableGrid"/>
        <w:tblW w:w="0" w:type="auto"/>
        <w:tblLook w:val="04A0" w:firstRow="1" w:lastRow="0" w:firstColumn="1" w:lastColumn="0" w:noHBand="0" w:noVBand="1"/>
      </w:tblPr>
      <w:tblGrid>
        <w:gridCol w:w="10194"/>
      </w:tblGrid>
      <w:tr w:rsidR="00A225DB" w14:paraId="1A197108" w14:textId="77777777" w:rsidTr="00104739">
        <w:tc>
          <w:tcPr>
            <w:tcW w:w="10194" w:type="dxa"/>
          </w:tcPr>
          <w:p w14:paraId="3AD0CBDA" w14:textId="77777777" w:rsidR="00A225DB" w:rsidRPr="00986CDC" w:rsidRDefault="00A225DB" w:rsidP="00104739">
            <w:pPr>
              <w:pStyle w:val="Doc-text2"/>
              <w:ind w:left="363"/>
              <w:rPr>
                <w:b/>
                <w:bCs/>
              </w:rPr>
            </w:pPr>
            <w:r w:rsidRPr="00986CDC">
              <w:rPr>
                <w:b/>
                <w:bCs/>
              </w:rPr>
              <w:t>Agreements on LCM</w:t>
            </w:r>
          </w:p>
          <w:p w14:paraId="77293485" w14:textId="77777777" w:rsidR="00A225DB" w:rsidRPr="00986CDC" w:rsidRDefault="00A225DB" w:rsidP="00104739">
            <w:pPr>
              <w:pStyle w:val="Doc-text2"/>
              <w:ind w:left="363"/>
            </w:pPr>
            <w:r w:rsidRPr="00986CDC">
              <w:t xml:space="preserve">Study 6G AI/ML LCM framework that supports at least the following functions/procedures: </w:t>
            </w:r>
          </w:p>
          <w:p w14:paraId="02D0D9B7" w14:textId="77777777" w:rsidR="00A225DB" w:rsidRPr="00986CDC" w:rsidRDefault="00A225DB" w:rsidP="00104739">
            <w:pPr>
              <w:pStyle w:val="Doc-text2"/>
              <w:numPr>
                <w:ilvl w:val="0"/>
                <w:numId w:val="12"/>
              </w:numPr>
              <w:overflowPunct/>
              <w:autoSpaceDE/>
              <w:autoSpaceDN/>
              <w:adjustRightInd/>
              <w:ind w:left="720"/>
              <w:textAlignment w:val="auto"/>
            </w:pPr>
            <w:r w:rsidRPr="00986CDC">
              <w:t xml:space="preserve">UE AI/ML Capabilities </w:t>
            </w:r>
            <w:proofErr w:type="gramStart"/>
            <w:r w:rsidRPr="00986CDC">
              <w:t>Exchange;</w:t>
            </w:r>
            <w:proofErr w:type="gramEnd"/>
          </w:p>
          <w:p w14:paraId="213CFDA6" w14:textId="77777777" w:rsidR="00A225DB" w:rsidRPr="00986CDC" w:rsidRDefault="00A225DB" w:rsidP="00104739">
            <w:pPr>
              <w:pStyle w:val="Doc-text2"/>
              <w:numPr>
                <w:ilvl w:val="0"/>
                <w:numId w:val="12"/>
              </w:numPr>
              <w:overflowPunct/>
              <w:autoSpaceDE/>
              <w:autoSpaceDN/>
              <w:adjustRightInd/>
              <w:ind w:left="720"/>
              <w:textAlignment w:val="auto"/>
            </w:pPr>
            <w:r w:rsidRPr="00986CDC">
              <w:t xml:space="preserve">Applicable Functionality </w:t>
            </w:r>
            <w:proofErr w:type="gramStart"/>
            <w:r w:rsidRPr="00986CDC">
              <w:t>Reporting;</w:t>
            </w:r>
            <w:proofErr w:type="gramEnd"/>
          </w:p>
          <w:p w14:paraId="3BDB9DAD" w14:textId="77777777" w:rsidR="00A225DB" w:rsidRPr="00986CDC" w:rsidRDefault="00A225DB" w:rsidP="00104739">
            <w:pPr>
              <w:pStyle w:val="Doc-text2"/>
              <w:numPr>
                <w:ilvl w:val="0"/>
                <w:numId w:val="12"/>
              </w:numPr>
              <w:overflowPunct/>
              <w:autoSpaceDE/>
              <w:autoSpaceDN/>
              <w:adjustRightInd/>
              <w:ind w:left="720"/>
              <w:textAlignment w:val="auto"/>
            </w:pPr>
            <w:r w:rsidRPr="00986CDC">
              <w:t xml:space="preserve">Inference Configuration and </w:t>
            </w:r>
            <w:proofErr w:type="gramStart"/>
            <w:r w:rsidRPr="00986CDC">
              <w:t>Reporting;</w:t>
            </w:r>
            <w:proofErr w:type="gramEnd"/>
          </w:p>
          <w:p w14:paraId="733CD48E" w14:textId="77777777" w:rsidR="00A225DB" w:rsidRDefault="00A225DB" w:rsidP="00104739">
            <w:pPr>
              <w:pStyle w:val="Doc-text2"/>
              <w:numPr>
                <w:ilvl w:val="0"/>
                <w:numId w:val="12"/>
              </w:numPr>
              <w:overflowPunct/>
              <w:autoSpaceDE/>
              <w:autoSpaceDN/>
              <w:adjustRightInd/>
              <w:ind w:left="720"/>
              <w:textAlignment w:val="auto"/>
            </w:pPr>
            <w:r w:rsidRPr="00986CDC">
              <w:lastRenderedPageBreak/>
              <w:t xml:space="preserve">Performance Monitoring Configuration and </w:t>
            </w:r>
            <w:proofErr w:type="gramStart"/>
            <w:r w:rsidRPr="00986CDC">
              <w:t>Reporting;</w:t>
            </w:r>
            <w:proofErr w:type="gramEnd"/>
          </w:p>
          <w:p w14:paraId="7FB33C33" w14:textId="77777777" w:rsidR="00A225DB" w:rsidRDefault="00A225DB" w:rsidP="00104739">
            <w:pPr>
              <w:pStyle w:val="Doc-text2"/>
              <w:numPr>
                <w:ilvl w:val="0"/>
                <w:numId w:val="12"/>
              </w:numPr>
              <w:overflowPunct/>
              <w:autoSpaceDE/>
              <w:autoSpaceDN/>
              <w:adjustRightInd/>
              <w:ind w:left="720"/>
              <w:textAlignment w:val="auto"/>
            </w:pPr>
            <w:r w:rsidRPr="00986CDC">
              <w:t>Functionality (De-)Activation and Fallback/Switching to the AI/ML/non-AI/ML Functionality</w:t>
            </w:r>
            <w:r w:rsidRPr="0056204F">
              <w:rPr>
                <w:i/>
                <w:iCs/>
              </w:rPr>
              <w:t>;</w:t>
            </w:r>
          </w:p>
        </w:tc>
      </w:tr>
    </w:tbl>
    <w:p w14:paraId="299F63B7" w14:textId="77777777" w:rsidR="00A225DB" w:rsidRDefault="00A225DB" w:rsidP="00A225DB"/>
    <w:p w14:paraId="6FA5EEB8" w14:textId="77777777" w:rsidR="00A225DB" w:rsidRDefault="00A225DB" w:rsidP="00A225DB">
      <w:r>
        <w:t>Building on these agreements, this contribution provides initial considerations for two main study aspects relevant to 6G RAN2:</w:t>
      </w:r>
    </w:p>
    <w:p w14:paraId="7A497FE3" w14:textId="01DAD26D" w:rsidR="00A225DB" w:rsidRDefault="00A225DB" w:rsidP="00A225DB">
      <w:pPr>
        <w:pStyle w:val="ListParagraph"/>
        <w:numPr>
          <w:ilvl w:val="0"/>
          <w:numId w:val="13"/>
        </w:numPr>
      </w:pPr>
      <w:r w:rsidRPr="00A63E99">
        <w:rPr>
          <w:b/>
          <w:bCs/>
        </w:rPr>
        <w:t>6G data transfer framework</w:t>
      </w:r>
      <w:r>
        <w:t xml:space="preserve">, which defines how various non-user data (e.g., AI/ML, sensing, SON/MDT, </w:t>
      </w:r>
      <w:proofErr w:type="spellStart"/>
      <w:r>
        <w:t>QoE</w:t>
      </w:r>
      <w:proofErr w:type="spellEnd"/>
      <w:r>
        <w:t>) can be efficiently and flexibly transferred within the RAN and across domains; and</w:t>
      </w:r>
    </w:p>
    <w:p w14:paraId="70BC3141" w14:textId="20A76106" w:rsidR="00A225DB" w:rsidRDefault="00A225DB" w:rsidP="00A225DB">
      <w:pPr>
        <w:pStyle w:val="ListParagraph"/>
        <w:numPr>
          <w:ilvl w:val="0"/>
          <w:numId w:val="13"/>
        </w:numPr>
      </w:pPr>
      <w:r w:rsidRPr="00A63E99">
        <w:rPr>
          <w:b/>
          <w:bCs/>
        </w:rPr>
        <w:t>6G AI/ML Life Cycle Management (LCM) framework</w:t>
      </w:r>
      <w:r>
        <w:t>, which governs how AI/ML functionalities are configured, activated, monitored, and switched between AI/ML and non-AI/ML operations.</w:t>
      </w:r>
    </w:p>
    <w:p w14:paraId="51BBF097" w14:textId="77777777" w:rsidR="00A225DB" w:rsidRDefault="00A225DB"/>
    <w:p w14:paraId="43DE6C5B" w14:textId="44B62C52" w:rsidR="00A225DB" w:rsidRDefault="00A225DB" w:rsidP="00A225DB">
      <w:r>
        <w:t>Rather than defining detailed procedures, this document focuses on identifying key design principles, observations, and preliminary proposals that can guide RAN2 discussions and future normative work. The intent is to derive a unified and flexible framework that ensures data efficiency, UE resource optimization, and long-term extensibility for future non-user services.</w:t>
      </w:r>
    </w:p>
    <w:p w14:paraId="77B11307" w14:textId="77777777" w:rsidR="001A533C" w:rsidRDefault="00000000">
      <w:pPr>
        <w:pStyle w:val="Heading1"/>
        <w:tabs>
          <w:tab w:val="left" w:pos="1441"/>
        </w:tabs>
      </w:pPr>
      <w:bookmarkStart w:id="1" w:name="_uuoevu2d6azc" w:colFirst="0" w:colLast="0"/>
      <w:bookmarkEnd w:id="1"/>
      <w:r>
        <w:t>2</w:t>
      </w:r>
      <w:r>
        <w:tab/>
        <w:t>Discussion</w:t>
      </w:r>
    </w:p>
    <w:p w14:paraId="5F33DDA4" w14:textId="108227A6" w:rsidR="001A533C" w:rsidRDefault="00000000" w:rsidP="003D22DF">
      <w:pPr>
        <w:pStyle w:val="Heading2"/>
        <w:tabs>
          <w:tab w:val="clear" w:pos="1"/>
          <w:tab w:val="clear" w:pos="721"/>
          <w:tab w:val="left" w:pos="0"/>
        </w:tabs>
        <w:ind w:left="709" w:hanging="709"/>
      </w:pPr>
      <w:bookmarkStart w:id="2" w:name="_1013iw5roxci" w:colFirst="0" w:colLast="0"/>
      <w:bookmarkEnd w:id="2"/>
      <w:r>
        <w:t>2.1</w:t>
      </w:r>
      <w:r>
        <w:tab/>
      </w:r>
      <w:r w:rsidR="00A63E99" w:rsidRPr="00A63E99">
        <w:t>6G data transfer framework</w:t>
      </w:r>
    </w:p>
    <w:p w14:paraId="63CABE35" w14:textId="0EDA8D51" w:rsidR="001A533C" w:rsidRDefault="00000000">
      <w:pPr>
        <w:pStyle w:val="Heading3"/>
      </w:pPr>
      <w:bookmarkStart w:id="3" w:name="_kuhl17l61ht7" w:colFirst="0" w:colLast="0"/>
      <w:bookmarkEnd w:id="3"/>
      <w:r>
        <w:t>2.1.1</w:t>
      </w:r>
      <w:r>
        <w:tab/>
        <w:t xml:space="preserve">Inter-WG and Inter-TSGs </w:t>
      </w:r>
      <w:r w:rsidR="005E5ADF">
        <w:t>coordination</w:t>
      </w:r>
    </w:p>
    <w:p w14:paraId="73EFEB17" w14:textId="25B3FE90" w:rsidR="001A533C" w:rsidRDefault="00000000">
      <w:pPr>
        <w:pStyle w:val="Heading4"/>
        <w:ind w:left="0" w:firstLine="0"/>
      </w:pPr>
      <w:r>
        <w:t>MNO controllability and visibility</w:t>
      </w:r>
    </w:p>
    <w:p w14:paraId="561ACA83" w14:textId="77777777" w:rsidR="001A533C" w:rsidRDefault="00000000">
      <w:pPr>
        <w:rPr>
          <w:i/>
        </w:rPr>
      </w:pPr>
      <w:r>
        <w:rPr>
          <w:b/>
          <w:i/>
        </w:rPr>
        <w:t>Design principle</w:t>
      </w:r>
      <w:r>
        <w:rPr>
          <w:i/>
        </w:rPr>
        <w:t xml:space="preserve">: The 6G data transfer framework shall be designed to support MNO controllability and visibility. </w:t>
      </w:r>
    </w:p>
    <w:p w14:paraId="5CD7F8DA" w14:textId="77777777" w:rsidR="001A533C" w:rsidRDefault="001A533C">
      <w:pPr>
        <w:rPr>
          <w:i/>
        </w:rPr>
      </w:pPr>
    </w:p>
    <w:p w14:paraId="688D9E6A" w14:textId="77777777" w:rsidR="006D035A" w:rsidRDefault="006D035A" w:rsidP="006D035A">
      <w:r>
        <w:t>During Rel-19 AI/ML study, RAN2 analyzed the aspects of MNO controllability and visibility for collected data. The outcome of this analysis, including different options and levels of data content visibility, is captured in Table 7.2.1.3.2-1 of TR 38.843. RAN2 discussed that, except for the case of standardized data content, the data content visibility and any level of controllability could be achieved via SLA (Service Level Agreement). However, RAN2 concluded that SLA-related aspects are out of RAN2 scope.</w:t>
      </w:r>
    </w:p>
    <w:p w14:paraId="1C032FD6" w14:textId="77777777" w:rsidR="006D035A" w:rsidRDefault="006D035A" w:rsidP="006D035A"/>
    <w:p w14:paraId="414EEABA" w14:textId="77777777" w:rsidR="006D035A" w:rsidRDefault="006D035A" w:rsidP="006D035A">
      <w:r>
        <w:t xml:space="preserve">In 6G, diverse non-user data such as AI/ML, sensing (ISAC), SON/MDT, and </w:t>
      </w:r>
      <w:proofErr w:type="spellStart"/>
      <w:r>
        <w:t>QoE</w:t>
      </w:r>
      <w:proofErr w:type="spellEnd"/>
      <w:r>
        <w:t xml:space="preserve"> will coexist with user traffic and may terminate at various network entities (e.g., RAN, CN, OAM, external or third-party servers, both inside and outside the MNO domain). Without MNO control and visibility, UE-side or autonomous data collection could lead to uncontrolled reporting, excessive power consumption, inconsistent scheduling, and potential exposure of sensitive information to external entities.</w:t>
      </w:r>
    </w:p>
    <w:p w14:paraId="0B8FAE13" w14:textId="77777777" w:rsidR="006D035A" w:rsidRDefault="006D035A" w:rsidP="006D035A">
      <w:r>
        <w:t>Furthermore, as non-user data flows become integral to network intelligence and operation, the MNO must maintain end-to-end observability and governance over data handling to ensure trust, accountability, security, and efficient resource utilization.</w:t>
      </w:r>
    </w:p>
    <w:p w14:paraId="2215D3D7" w14:textId="77777777" w:rsidR="006D035A" w:rsidRDefault="006D035A" w:rsidP="006D035A"/>
    <w:p w14:paraId="42DDCEBD" w14:textId="52510BF0" w:rsidR="006D035A" w:rsidRDefault="006D035A" w:rsidP="006D035A">
      <w:r>
        <w:t xml:space="preserve">Nevertheless, RAN2 cannot determine whether full MNO controllability and visibility can be achieved with or without SLA, nor how such control should be technically realized. The control mechanisms for MNO controllability and visibility should also be considered for all types of 6G non-user data/services (e.g., AI/ML, sensing (ISAC), SON/MDT, and </w:t>
      </w:r>
      <w:proofErr w:type="spellStart"/>
      <w:r>
        <w:t>QoE</w:t>
      </w:r>
      <w:proofErr w:type="spellEnd"/>
      <w:r>
        <w:t>). This topic, however, falls mainly under the expertise of SA1 (requirements), SA2 (architecture), and SA3 (privacy and security). Accordingly, RAN2 will monitor the progress of these groups and align its future discussions on data transfer framework once clearer guidance becomes available.</w:t>
      </w:r>
    </w:p>
    <w:p w14:paraId="3A638349" w14:textId="72E1288E" w:rsidR="001A533C" w:rsidRDefault="00000000" w:rsidP="006D035A">
      <w:r>
        <w:t xml:space="preserve"> </w:t>
      </w:r>
    </w:p>
    <w:p w14:paraId="16B0609D" w14:textId="7D0875FE" w:rsidR="001A533C" w:rsidRDefault="00000000">
      <w:pPr>
        <w:tabs>
          <w:tab w:val="left" w:pos="0"/>
        </w:tabs>
        <w:ind w:left="1701" w:hanging="1701"/>
        <w:rPr>
          <w:b/>
        </w:rPr>
      </w:pPr>
      <w:r>
        <w:rPr>
          <w:b/>
        </w:rPr>
        <w:t>Observation 1.</w:t>
      </w:r>
      <w:r>
        <w:rPr>
          <w:b/>
        </w:rPr>
        <w:tab/>
      </w:r>
      <w:r w:rsidR="006D035A" w:rsidRPr="006D035A">
        <w:rPr>
          <w:b/>
        </w:rPr>
        <w:t xml:space="preserve">In 6G, diversified non-user data such as AI/ML, sensing, SON/MDT, and </w:t>
      </w:r>
      <w:proofErr w:type="spellStart"/>
      <w:r w:rsidR="006D035A" w:rsidRPr="006D035A">
        <w:rPr>
          <w:b/>
        </w:rPr>
        <w:t>QoE</w:t>
      </w:r>
      <w:proofErr w:type="spellEnd"/>
      <w:r w:rsidR="006D035A" w:rsidRPr="006D035A">
        <w:rPr>
          <w:b/>
        </w:rPr>
        <w:t xml:space="preserve"> require operator-level controllability and visibility across multiple termination points, but it remains unclear whether full MNO control and visibility can be achieved without or with SLA, which is primarily under the scope of SA1, SA2, and SA3</w:t>
      </w:r>
      <w:r>
        <w:rPr>
          <w:b/>
        </w:rPr>
        <w:t>.</w:t>
      </w:r>
    </w:p>
    <w:p w14:paraId="07771964" w14:textId="77777777" w:rsidR="001A533C" w:rsidRDefault="001A533C">
      <w:pPr>
        <w:tabs>
          <w:tab w:val="left" w:pos="1843"/>
        </w:tabs>
        <w:rPr>
          <w:b/>
          <w:strike/>
        </w:rPr>
      </w:pPr>
    </w:p>
    <w:p w14:paraId="7F15C733" w14:textId="4807D05C" w:rsidR="001A533C" w:rsidRDefault="00000000">
      <w:pPr>
        <w:pStyle w:val="Heading4"/>
        <w:ind w:left="0" w:firstLine="0"/>
      </w:pPr>
      <w:bookmarkStart w:id="4" w:name="_5utxb54oy2vp" w:colFirst="0" w:colLast="0"/>
      <w:bookmarkEnd w:id="4"/>
      <w:r>
        <w:t xml:space="preserve">Security and </w:t>
      </w:r>
      <w:r w:rsidR="006D035A">
        <w:t>P</w:t>
      </w:r>
      <w:r>
        <w:t>rivacy</w:t>
      </w:r>
    </w:p>
    <w:p w14:paraId="0187E060" w14:textId="77777777" w:rsidR="001A533C" w:rsidRDefault="00000000">
      <w:r>
        <w:rPr>
          <w:b/>
          <w:i/>
        </w:rPr>
        <w:t>Design principle</w:t>
      </w:r>
      <w:r>
        <w:rPr>
          <w:i/>
        </w:rPr>
        <w:t>: The 6G data transfer framework shall be designed to ensure that all non-user data are handled in accordance with security and privacy principles defined by 3GPP.</w:t>
      </w:r>
      <w:r>
        <w:br/>
      </w:r>
    </w:p>
    <w:p w14:paraId="3CE54476" w14:textId="77777777" w:rsidR="006D035A" w:rsidRDefault="006D035A" w:rsidP="006D035A">
      <w:pPr>
        <w:tabs>
          <w:tab w:val="left" w:pos="1843"/>
        </w:tabs>
      </w:pPr>
      <w:r>
        <w:t>During Rel-19 AI/ML study, RAN2 recognized that any mechanism for data collection or transfer must comply with applicable privacy protection regulations, requirements, and operator or regional policies. In addition, data collection and transfer procedures shall support secure authentication, encryption, and access control, and prevent any unauthorized exposure of sensitive or personally identifiable information to external entities.</w:t>
      </w:r>
    </w:p>
    <w:p w14:paraId="428036B6" w14:textId="77777777" w:rsidR="006D035A" w:rsidRDefault="006D035A" w:rsidP="006D035A">
      <w:pPr>
        <w:tabs>
          <w:tab w:val="left" w:pos="1843"/>
        </w:tabs>
      </w:pPr>
    </w:p>
    <w:p w14:paraId="4BBFC7C5" w14:textId="77777777" w:rsidR="006D035A" w:rsidRDefault="006D035A" w:rsidP="006D035A">
      <w:pPr>
        <w:tabs>
          <w:tab w:val="left" w:pos="1843"/>
        </w:tabs>
      </w:pPr>
      <w:r>
        <w:t xml:space="preserve">Accordingly, the 6G data transfer framework shall protect data integrity, confidentiality, and authenticity during transfer, while respecting user privacy, anonymity, and consent requirements for all types of non-user data, including AI/ML, sensing (ISAC), SON/MDT, and </w:t>
      </w:r>
      <w:proofErr w:type="spellStart"/>
      <w:r>
        <w:t>QoE</w:t>
      </w:r>
      <w:proofErr w:type="spellEnd"/>
      <w:r>
        <w:t>.</w:t>
      </w:r>
    </w:p>
    <w:p w14:paraId="175FC0BD" w14:textId="77777777" w:rsidR="006D035A" w:rsidRDefault="006D035A" w:rsidP="006D035A">
      <w:pPr>
        <w:tabs>
          <w:tab w:val="left" w:pos="1843"/>
        </w:tabs>
      </w:pPr>
    </w:p>
    <w:p w14:paraId="4F71C2EA" w14:textId="77777777" w:rsidR="006D035A" w:rsidRDefault="006D035A" w:rsidP="006D035A">
      <w:pPr>
        <w:tabs>
          <w:tab w:val="left" w:pos="1843"/>
        </w:tabs>
      </w:pPr>
      <w:r>
        <w:t xml:space="preserve">However, detailed mechanisms and policies related to user consent, data ownership, encryption, and authorization are primarily within the scope of SA3, and partly SA1. </w:t>
      </w:r>
      <w:proofErr w:type="gramStart"/>
      <w:r>
        <w:t>In particular, passive</w:t>
      </w:r>
      <w:proofErr w:type="gramEnd"/>
      <w:r>
        <w:t xml:space="preserve"> sensing, where environmental or object information is inferred from reflected or ambient radio signals without explicit user transmission, may raise additional privacy concerns.</w:t>
      </w:r>
    </w:p>
    <w:p w14:paraId="5A4F63F2" w14:textId="77777777" w:rsidR="006D035A" w:rsidRDefault="006D035A" w:rsidP="006D035A">
      <w:pPr>
        <w:tabs>
          <w:tab w:val="left" w:pos="1843"/>
        </w:tabs>
      </w:pPr>
      <w:r>
        <w:t xml:space="preserve">Such sensing could potentially capture information related to a user’s presence, movement, or surroundings without explicit user awareness or consent. Therefore, any data collection or transfer involving passive sensing results shall strictly comply with privacy protection and data minimization </w:t>
      </w:r>
      <w:proofErr w:type="gramStart"/>
      <w:r>
        <w:t>principles, and</w:t>
      </w:r>
      <w:proofErr w:type="gramEnd"/>
      <w:r>
        <w:t xml:space="preserve"> shall rely on SA3-defined mechanisms for user consent, anonymization, and policy enforcement. We note that these aspects are considered out of RAN2 scope and should be further studied in SA3, in conjunction with overall 6G privacy protection work.</w:t>
      </w:r>
    </w:p>
    <w:p w14:paraId="32BA2C0F" w14:textId="77777777" w:rsidR="006D035A" w:rsidRDefault="006D035A" w:rsidP="006D035A">
      <w:pPr>
        <w:tabs>
          <w:tab w:val="left" w:pos="1843"/>
        </w:tabs>
      </w:pPr>
    </w:p>
    <w:p w14:paraId="26C8EF0D" w14:textId="169B0703" w:rsidR="001A533C" w:rsidRDefault="006D035A" w:rsidP="006D035A">
      <w:pPr>
        <w:tabs>
          <w:tab w:val="left" w:pos="1843"/>
        </w:tabs>
      </w:pPr>
      <w:r>
        <w:t xml:space="preserve">Therefore, RAN2 will monitor the ongoing studies in SA3 and SA1 on 6G data security, privacy protection, and data governance, and will align the </w:t>
      </w:r>
      <w:r w:rsidR="001023C8">
        <w:t xml:space="preserve">6G </w:t>
      </w:r>
      <w:r>
        <w:t>data transfer framework accordingly once clearer guidance and security models become available. For the current stage, RAN2 focuses on maintaining the framework-level principle that data transfer shall be secure and privacy-compliant, while deferring the specification of detailed security procedures, key management, and data access policies to SA3.</w:t>
      </w:r>
    </w:p>
    <w:p w14:paraId="5CCEDA6E" w14:textId="77777777" w:rsidR="006D035A" w:rsidRDefault="006D035A" w:rsidP="006D035A">
      <w:pPr>
        <w:tabs>
          <w:tab w:val="left" w:pos="1843"/>
        </w:tabs>
      </w:pPr>
    </w:p>
    <w:p w14:paraId="058782B8" w14:textId="77777777" w:rsidR="001A533C" w:rsidRDefault="00000000">
      <w:pPr>
        <w:pBdr>
          <w:top w:val="nil"/>
          <w:left w:val="nil"/>
          <w:bottom w:val="nil"/>
          <w:right w:val="nil"/>
          <w:between w:val="nil"/>
        </w:pBdr>
        <w:tabs>
          <w:tab w:val="left" w:pos="0"/>
        </w:tabs>
        <w:ind w:left="1701" w:hanging="1701"/>
        <w:rPr>
          <w:b/>
          <w:color w:val="000000"/>
        </w:rPr>
      </w:pPr>
      <w:r>
        <w:rPr>
          <w:rFonts w:eastAsia="Times New Roman"/>
          <w:b/>
          <w:color w:val="000000"/>
        </w:rPr>
        <w:t>Observation 2.</w:t>
      </w:r>
      <w:r>
        <w:rPr>
          <w:rFonts w:eastAsia="Times New Roman"/>
          <w:b/>
          <w:color w:val="000000"/>
        </w:rPr>
        <w:tab/>
        <w:t xml:space="preserve">While ensuring data security and privacy is essential for 6G non-user data transfer, potential risks—such as privacy exposure from passive sensing—require framework-level safeguards in RAN2, whereas the detailed mechanisms remain under the scope of SA3 and partly SA1. </w:t>
      </w:r>
    </w:p>
    <w:p w14:paraId="3AAE7AC7" w14:textId="77777777" w:rsidR="001A533C" w:rsidRDefault="001A533C">
      <w:pPr>
        <w:tabs>
          <w:tab w:val="left" w:pos="1843"/>
        </w:tabs>
        <w:ind w:left="1842"/>
        <w:rPr>
          <w:b/>
        </w:rPr>
      </w:pPr>
    </w:p>
    <w:p w14:paraId="52A8E508" w14:textId="77777777" w:rsidR="001A533C" w:rsidRPr="00827D9C" w:rsidRDefault="00000000">
      <w:pPr>
        <w:tabs>
          <w:tab w:val="left" w:pos="1843"/>
        </w:tabs>
        <w:rPr>
          <w:i/>
          <w:iCs/>
        </w:rPr>
      </w:pPr>
      <w:r w:rsidRPr="00827D9C">
        <w:rPr>
          <w:i/>
          <w:iCs/>
        </w:rPr>
        <w:t>From above observation 1 and 2, we made proposal:</w:t>
      </w:r>
    </w:p>
    <w:p w14:paraId="4410BCF1" w14:textId="15E60673" w:rsidR="00827D9C" w:rsidRDefault="00000000" w:rsidP="00827D9C">
      <w:pPr>
        <w:pBdr>
          <w:top w:val="nil"/>
          <w:left w:val="nil"/>
          <w:bottom w:val="nil"/>
          <w:right w:val="nil"/>
          <w:between w:val="nil"/>
        </w:pBdr>
        <w:tabs>
          <w:tab w:val="left" w:pos="0"/>
        </w:tabs>
        <w:ind w:left="1701" w:hanging="1701"/>
        <w:rPr>
          <w:b/>
          <w:color w:val="000000"/>
        </w:rPr>
      </w:pPr>
      <w:r>
        <w:rPr>
          <w:rFonts w:eastAsia="Times New Roman"/>
          <w:b/>
          <w:color w:val="000000"/>
        </w:rPr>
        <w:t>Proposal 1.</w:t>
      </w:r>
      <w:r>
        <w:rPr>
          <w:rFonts w:eastAsia="Times New Roman"/>
          <w:b/>
          <w:color w:val="000000"/>
        </w:rPr>
        <w:tab/>
        <w:t>RAN2 to defer detailed studies related to inter-WG and inter-TSG coordination — including aspects such as MNO controllability and visibility (with or without SLA) and security and privacy mechanisms — until relevant guidance becomes available from other 3GPP groups. RAN2 to monitor the progress of the following ongoing studies and align its future framework design accordingly:</w:t>
      </w:r>
    </w:p>
    <w:p w14:paraId="1DEAE19C" w14:textId="6F886ADA" w:rsidR="00827D9C" w:rsidRDefault="00000000" w:rsidP="00827D9C">
      <w:pPr>
        <w:pStyle w:val="ListParagraph"/>
        <w:numPr>
          <w:ilvl w:val="2"/>
          <w:numId w:val="5"/>
        </w:numPr>
        <w:pBdr>
          <w:top w:val="nil"/>
          <w:left w:val="nil"/>
          <w:bottom w:val="nil"/>
          <w:right w:val="nil"/>
          <w:between w:val="nil"/>
        </w:pBdr>
        <w:tabs>
          <w:tab w:val="left" w:pos="0"/>
        </w:tabs>
        <w:rPr>
          <w:b/>
          <w:color w:val="000000"/>
        </w:rPr>
      </w:pPr>
      <w:r w:rsidRPr="00827D9C">
        <w:rPr>
          <w:b/>
          <w:color w:val="000000"/>
        </w:rPr>
        <w:t xml:space="preserve">6G use cases and detailed requirements (e.g., </w:t>
      </w:r>
      <w:r w:rsidR="000302D1">
        <w:rPr>
          <w:b/>
          <w:color w:val="000000"/>
        </w:rPr>
        <w:t>KPI</w:t>
      </w:r>
      <w:r w:rsidRPr="00827D9C">
        <w:rPr>
          <w:b/>
          <w:color w:val="000000"/>
        </w:rPr>
        <w:t>, QoS, etc.) from SA1</w:t>
      </w:r>
      <w:r w:rsidR="000302D1">
        <w:rPr>
          <w:b/>
          <w:color w:val="000000"/>
        </w:rPr>
        <w:t>/RAN</w:t>
      </w:r>
      <w:r w:rsidRPr="00827D9C">
        <w:rPr>
          <w:b/>
          <w:color w:val="000000"/>
        </w:rPr>
        <w:t xml:space="preserve"> (ref: TR 22.870</w:t>
      </w:r>
      <w:r w:rsidR="000302D1">
        <w:rPr>
          <w:b/>
          <w:color w:val="000000"/>
        </w:rPr>
        <w:t>, TR 38.914</w:t>
      </w:r>
      <w:r w:rsidRPr="00827D9C">
        <w:rPr>
          <w:b/>
          <w:color w:val="000000"/>
        </w:rPr>
        <w:t>)</w:t>
      </w:r>
      <w:r w:rsidR="000302D1">
        <w:rPr>
          <w:b/>
          <w:color w:val="000000"/>
        </w:rPr>
        <w:t>.</w:t>
      </w:r>
    </w:p>
    <w:p w14:paraId="3053429D" w14:textId="5F781F9C" w:rsidR="00827D9C" w:rsidRDefault="00000000" w:rsidP="00827D9C">
      <w:pPr>
        <w:pStyle w:val="ListParagraph"/>
        <w:numPr>
          <w:ilvl w:val="2"/>
          <w:numId w:val="5"/>
        </w:numPr>
        <w:pBdr>
          <w:top w:val="nil"/>
          <w:left w:val="nil"/>
          <w:bottom w:val="nil"/>
          <w:right w:val="nil"/>
          <w:between w:val="nil"/>
        </w:pBdr>
        <w:tabs>
          <w:tab w:val="left" w:pos="0"/>
        </w:tabs>
        <w:rPr>
          <w:b/>
          <w:color w:val="000000"/>
        </w:rPr>
      </w:pPr>
      <w:r w:rsidRPr="00827D9C">
        <w:rPr>
          <w:b/>
          <w:color w:val="000000"/>
        </w:rPr>
        <w:t>6G architectural enhancement and overall procedures from SA2 (ref: TR 23.801-01)</w:t>
      </w:r>
      <w:r w:rsidR="000302D1">
        <w:rPr>
          <w:b/>
          <w:color w:val="000000"/>
        </w:rPr>
        <w:t>.</w:t>
      </w:r>
    </w:p>
    <w:p w14:paraId="68421D24" w14:textId="1E618B9A" w:rsidR="00827D9C" w:rsidRDefault="00000000" w:rsidP="00827D9C">
      <w:pPr>
        <w:pStyle w:val="ListParagraph"/>
        <w:numPr>
          <w:ilvl w:val="2"/>
          <w:numId w:val="5"/>
        </w:numPr>
        <w:pBdr>
          <w:top w:val="nil"/>
          <w:left w:val="nil"/>
          <w:bottom w:val="nil"/>
          <w:right w:val="nil"/>
          <w:between w:val="nil"/>
        </w:pBdr>
        <w:tabs>
          <w:tab w:val="left" w:pos="0"/>
        </w:tabs>
        <w:rPr>
          <w:b/>
          <w:color w:val="000000"/>
        </w:rPr>
      </w:pPr>
      <w:r w:rsidRPr="00827D9C">
        <w:rPr>
          <w:b/>
          <w:color w:val="000000"/>
        </w:rPr>
        <w:t>6G MNO controllability and visibility aspects from SA1/SA2/SA3</w:t>
      </w:r>
      <w:r w:rsidR="000302D1">
        <w:rPr>
          <w:b/>
          <w:color w:val="000000"/>
        </w:rPr>
        <w:t>.</w:t>
      </w:r>
      <w:r w:rsidRPr="00827D9C">
        <w:rPr>
          <w:b/>
          <w:color w:val="000000"/>
        </w:rPr>
        <w:t xml:space="preserve"> </w:t>
      </w:r>
    </w:p>
    <w:p w14:paraId="1DBD84B2" w14:textId="6EA977EC" w:rsidR="001A533C" w:rsidRPr="00827D9C" w:rsidRDefault="00000000" w:rsidP="00827D9C">
      <w:pPr>
        <w:pStyle w:val="ListParagraph"/>
        <w:numPr>
          <w:ilvl w:val="2"/>
          <w:numId w:val="5"/>
        </w:numPr>
        <w:pBdr>
          <w:top w:val="nil"/>
          <w:left w:val="nil"/>
          <w:bottom w:val="nil"/>
          <w:right w:val="nil"/>
          <w:between w:val="nil"/>
        </w:pBdr>
        <w:tabs>
          <w:tab w:val="left" w:pos="0"/>
        </w:tabs>
        <w:rPr>
          <w:b/>
          <w:color w:val="000000"/>
        </w:rPr>
      </w:pPr>
      <w:r w:rsidRPr="00827D9C">
        <w:rPr>
          <w:b/>
          <w:color w:val="000000"/>
        </w:rPr>
        <w:t xml:space="preserve">6G user consent, privacy, security, and data governance topics from </w:t>
      </w:r>
      <w:r w:rsidR="00AA049B">
        <w:rPr>
          <w:b/>
          <w:color w:val="000000"/>
        </w:rPr>
        <w:t>SA1/</w:t>
      </w:r>
      <w:r w:rsidRPr="00827D9C">
        <w:rPr>
          <w:b/>
          <w:color w:val="000000"/>
        </w:rPr>
        <w:t>SA3.</w:t>
      </w:r>
    </w:p>
    <w:p w14:paraId="0A986FB8" w14:textId="77777777" w:rsidR="001A533C" w:rsidRDefault="001A533C"/>
    <w:p w14:paraId="15028B29" w14:textId="77777777" w:rsidR="001A533C" w:rsidRDefault="00000000">
      <w:pPr>
        <w:pStyle w:val="Heading3"/>
      </w:pPr>
      <w:bookmarkStart w:id="5" w:name="_c8l8ynawx2x1" w:colFirst="0" w:colLast="0"/>
      <w:bookmarkEnd w:id="5"/>
      <w:r>
        <w:t>2.1.2</w:t>
      </w:r>
      <w:r>
        <w:tab/>
        <w:t>Data-type specific considerations</w:t>
      </w:r>
    </w:p>
    <w:p w14:paraId="1DA168E8" w14:textId="5C6FDC51" w:rsidR="001A533C" w:rsidRDefault="00000000">
      <w:pPr>
        <w:rPr>
          <w:i/>
        </w:rPr>
      </w:pPr>
      <w:r>
        <w:rPr>
          <w:b/>
          <w:i/>
        </w:rPr>
        <w:t>Design principle</w:t>
      </w:r>
      <w:r>
        <w:rPr>
          <w:i/>
        </w:rPr>
        <w:t xml:space="preserve">: The 6G data transfer framework shall be designed to accommodate heterogeneous non-user data types with different data characteristics, </w:t>
      </w:r>
      <w:r w:rsidR="00DA0AD3">
        <w:rPr>
          <w:i/>
        </w:rPr>
        <w:t>latency</w:t>
      </w:r>
      <w:r>
        <w:rPr>
          <w:i/>
        </w:rPr>
        <w:t xml:space="preserve"> requirements, and termination points.</w:t>
      </w:r>
    </w:p>
    <w:p w14:paraId="54424AEC" w14:textId="77777777" w:rsidR="001A533C" w:rsidRDefault="001A533C"/>
    <w:p w14:paraId="71A477E6" w14:textId="1F3543F3" w:rsidR="001A533C" w:rsidRDefault="00000000" w:rsidP="00310951">
      <w:r>
        <w:t xml:space="preserve">This section provides a comparative analysis of representative data types—AI/ML, sensing (ISAC), SON/MDT, and </w:t>
      </w:r>
      <w:proofErr w:type="spellStart"/>
      <w:r>
        <w:t>QoE</w:t>
      </w:r>
      <w:proofErr w:type="spellEnd"/>
      <w:r>
        <w:t xml:space="preserve">—to capture their unique and common characteristics. To design the 6G data transfer framework, it is essential to understand the intrinsic characteristics of each data category, since the requirements for data size, latency, producer/consumer, and </w:t>
      </w:r>
      <w:r w:rsidR="003B02EC">
        <w:t xml:space="preserve">transfer </w:t>
      </w:r>
      <w:r>
        <w:t xml:space="preserve">protocol usage differ significantly among them. By analyzing each data category along these dimensions, RAN2 can identify commonalities, divergence points, and potential mapping rules required for the </w:t>
      </w:r>
      <w:r w:rsidR="00C40161">
        <w:t xml:space="preserve">flexible </w:t>
      </w:r>
      <w:r>
        <w:t>6G data transfer framework. The outcome of this analysis will serve as a technical basis for determining whether a common set of procedures and signaling mechanisms can accommodate all data types or whether certain service-specific extensions are needed.</w:t>
      </w:r>
      <w:bookmarkStart w:id="6" w:name="_so3y8e4dbuvm" w:colFirst="0" w:colLast="0"/>
      <w:bookmarkEnd w:id="6"/>
    </w:p>
    <w:p w14:paraId="10349013" w14:textId="77777777" w:rsidR="00310951" w:rsidRPr="00310951" w:rsidRDefault="00310951" w:rsidP="00310951"/>
    <w:p w14:paraId="4D98B89A" w14:textId="77777777" w:rsidR="001A533C" w:rsidRDefault="00000000">
      <w:pPr>
        <w:pStyle w:val="Heading4"/>
      </w:pPr>
      <w:r>
        <w:t>AI/ML</w:t>
      </w:r>
    </w:p>
    <w:p w14:paraId="76EEC422" w14:textId="28933C62" w:rsidR="001A533C" w:rsidRDefault="006D035A">
      <w:r w:rsidRPr="006D035A">
        <w:t>AI/ML data presents the most significant duality in transport requirements, necessitating different approaches for massive volume with relaxed latency for training data and model transfer/delivery vs. tight latency with small-to-medium volume for real-time inference and monitoring</w:t>
      </w:r>
      <w:r>
        <w:t>.</w:t>
      </w:r>
    </w:p>
    <w:p w14:paraId="40E74489" w14:textId="77777777" w:rsidR="001A533C" w:rsidRDefault="001A533C"/>
    <w:p w14:paraId="033D231A" w14:textId="77777777" w:rsidR="001A533C" w:rsidRDefault="00000000">
      <w:pPr>
        <w:numPr>
          <w:ilvl w:val="0"/>
          <w:numId w:val="8"/>
        </w:numPr>
      </w:pPr>
      <w:r>
        <w:rPr>
          <w:b/>
        </w:rPr>
        <w:t xml:space="preserve">Data Type: </w:t>
      </w:r>
      <w:r>
        <w:t xml:space="preserve">Various </w:t>
      </w:r>
    </w:p>
    <w:p w14:paraId="5B783C10" w14:textId="77777777" w:rsidR="001A533C" w:rsidRDefault="00000000">
      <w:pPr>
        <w:numPr>
          <w:ilvl w:val="1"/>
          <w:numId w:val="8"/>
        </w:numPr>
      </w:pPr>
      <w:r>
        <w:t>AI/ML-related data include training datasets, inference results, monitoring (feedback data), model (download or parameters) transfer/delivery.</w:t>
      </w:r>
    </w:p>
    <w:p w14:paraId="2EA524AE" w14:textId="40DC94A4" w:rsidR="001A533C" w:rsidRDefault="00000000">
      <w:pPr>
        <w:numPr>
          <w:ilvl w:val="0"/>
          <w:numId w:val="8"/>
        </w:numPr>
      </w:pPr>
      <w:r>
        <w:rPr>
          <w:b/>
        </w:rPr>
        <w:t>Data Size</w:t>
      </w:r>
      <w:r>
        <w:t>: Diverse</w:t>
      </w:r>
      <w:r w:rsidR="009028B8">
        <w:t xml:space="preserve"> (</w:t>
      </w:r>
      <w:r w:rsidR="009028B8" w:rsidRPr="009028B8">
        <w:t>few kB ~ MB/GB)</w:t>
      </w:r>
    </w:p>
    <w:p w14:paraId="107D0327" w14:textId="54E4C97C" w:rsidR="001A533C" w:rsidRDefault="006D035A">
      <w:pPr>
        <w:numPr>
          <w:ilvl w:val="1"/>
          <w:numId w:val="8"/>
        </w:numPr>
      </w:pPr>
      <w:r w:rsidRPr="006D035A">
        <w:rPr>
          <w:rFonts w:hint="eastAsia"/>
        </w:rPr>
        <w:t>The traffic spans small, frequent inference telemetry (few kB) and large, infrequent model or dataset transfers (up to MB/GB scale).</w:t>
      </w:r>
      <w:r>
        <w:t xml:space="preserve"> </w:t>
      </w:r>
    </w:p>
    <w:p w14:paraId="26EE9DC6" w14:textId="597C932C" w:rsidR="001A533C" w:rsidRPr="009028B8" w:rsidRDefault="006D035A" w:rsidP="009028B8">
      <w:pPr>
        <w:numPr>
          <w:ilvl w:val="1"/>
          <w:numId w:val="8"/>
        </w:numPr>
      </w:pPr>
      <w:r w:rsidRPr="009028B8">
        <w:t>Unit size (single transfer) of model parameters or training datasets is typically in the order of tens to hundreds of kilobytes per chunk (10</w:t>
      </w:r>
      <w:r w:rsidRPr="009028B8">
        <w:rPr>
          <w:rFonts w:hint="eastAsia"/>
        </w:rPr>
        <w:t>–</w:t>
      </w:r>
      <w:r w:rsidRPr="009028B8">
        <w:t xml:space="preserve">200 kB), but the total transfer volume (aggregate volume) per session or per day can reach hundreds of megabytes or more (~ hundreds of MB/GB), requiring high-throughput and efficient scheduling. In contrast, real-time inference results, monitoring, and feedback reports are small (a few KB) but demand for low-overhead and low-latency messaging. </w:t>
      </w:r>
    </w:p>
    <w:p w14:paraId="2B278E05" w14:textId="070DFDBF" w:rsidR="001A533C" w:rsidRDefault="00000000">
      <w:pPr>
        <w:numPr>
          <w:ilvl w:val="0"/>
          <w:numId w:val="8"/>
        </w:numPr>
      </w:pPr>
      <w:r>
        <w:rPr>
          <w:b/>
        </w:rPr>
        <w:t>Latency</w:t>
      </w:r>
      <w:r>
        <w:t xml:space="preserve">: Diverse </w:t>
      </w:r>
      <w:r w:rsidR="006D035A">
        <w:t>(Low latency ~ Relaxed)</w:t>
      </w:r>
    </w:p>
    <w:p w14:paraId="27802E89" w14:textId="76569FD0" w:rsidR="001A533C" w:rsidRDefault="006D035A">
      <w:pPr>
        <w:numPr>
          <w:ilvl w:val="1"/>
          <w:numId w:val="8"/>
        </w:numPr>
      </w:pPr>
      <w:r w:rsidRPr="006D035A">
        <w:rPr>
          <w:rFonts w:hint="eastAsia"/>
        </w:rPr>
        <w:lastRenderedPageBreak/>
        <w:t>Delivery can be latency-relaxed for model/dataset transfer/delivery for off-line training, while inference-feedback used for active control (e.g., beam, CSI compression loop) may require tight latency/jitter.</w:t>
      </w:r>
    </w:p>
    <w:p w14:paraId="7B85F3A4" w14:textId="62BF43CC" w:rsidR="001A533C" w:rsidRDefault="006D035A">
      <w:pPr>
        <w:numPr>
          <w:ilvl w:val="1"/>
          <w:numId w:val="8"/>
        </w:numPr>
      </w:pPr>
      <w:r w:rsidRPr="006D035A">
        <w:rPr>
          <w:rFonts w:hint="eastAsia"/>
        </w:rPr>
        <w:t>The primary downlink data transfer case is AI/ML model transfer/delivery. Since models can be preloaded or scheduled in advance, such transfers are typically non-real-time and not latency-critical</w:t>
      </w:r>
      <w:r>
        <w:t>.</w:t>
      </w:r>
    </w:p>
    <w:p w14:paraId="5CE0CB6B" w14:textId="77777777" w:rsidR="001A533C" w:rsidRDefault="00000000">
      <w:pPr>
        <w:numPr>
          <w:ilvl w:val="0"/>
          <w:numId w:val="8"/>
        </w:numPr>
      </w:pPr>
      <w:r>
        <w:rPr>
          <w:b/>
        </w:rPr>
        <w:t>Producer and Consumer</w:t>
      </w:r>
      <w:r>
        <w:t xml:space="preserve">: Multiple </w:t>
      </w:r>
    </w:p>
    <w:p w14:paraId="43BC3DD4" w14:textId="2CDFF852" w:rsidR="00827D9C" w:rsidRDefault="006D035A" w:rsidP="00827D9C">
      <w:pPr>
        <w:numPr>
          <w:ilvl w:val="1"/>
          <w:numId w:val="8"/>
        </w:numPr>
      </w:pPr>
      <w:r w:rsidRPr="006D035A">
        <w:rPr>
          <w:rFonts w:hint="eastAsia"/>
        </w:rPr>
        <w:t>Data flow involves numerous, distinct entities: UE, RAN (BS), CN, UE-side server, and OAM</w:t>
      </w:r>
      <w:r>
        <w:t xml:space="preserve">. </w:t>
      </w:r>
    </w:p>
    <w:p w14:paraId="6B4E8C29" w14:textId="1FE808ED" w:rsidR="006D035A" w:rsidRDefault="006D035A" w:rsidP="006D035A">
      <w:pPr>
        <w:pStyle w:val="ListParagraph"/>
        <w:numPr>
          <w:ilvl w:val="2"/>
          <w:numId w:val="5"/>
        </w:numPr>
      </w:pPr>
      <w:r>
        <w:t xml:space="preserve">For UE-sided data collection (e.g., CSI prediction, AI/ML beam management), UE can deliver AI/ML data to UE-side server, CN, or OAM, depending on solutions being discussed </w:t>
      </w:r>
    </w:p>
    <w:p w14:paraId="1A20ED56" w14:textId="5BA9B425" w:rsidR="001A533C" w:rsidRDefault="006D035A" w:rsidP="006D035A">
      <w:pPr>
        <w:pStyle w:val="ListParagraph"/>
        <w:numPr>
          <w:ilvl w:val="2"/>
          <w:numId w:val="5"/>
        </w:numPr>
      </w:pPr>
      <w:r>
        <w:t xml:space="preserve">For NW-sided data collection (e.g., AI/ML beam management), UE delivers AI/ML data to RAN and/or OAM. </w:t>
      </w:r>
    </w:p>
    <w:p w14:paraId="7C3DCC56" w14:textId="1B26ED48" w:rsidR="001A533C" w:rsidRDefault="00000000">
      <w:pPr>
        <w:numPr>
          <w:ilvl w:val="0"/>
          <w:numId w:val="8"/>
        </w:numPr>
      </w:pPr>
      <w:r>
        <w:rPr>
          <w:b/>
        </w:rPr>
        <w:t>Protocol</w:t>
      </w:r>
      <w:r>
        <w:t>: Non-IP and IP</w:t>
      </w:r>
    </w:p>
    <w:p w14:paraId="03101DE6" w14:textId="7C8E641A" w:rsidR="006D035A" w:rsidRDefault="006D035A" w:rsidP="00F11495">
      <w:pPr>
        <w:numPr>
          <w:ilvl w:val="1"/>
          <w:numId w:val="8"/>
        </w:numPr>
      </w:pPr>
      <w:r>
        <w:rPr>
          <w:rFonts w:hint="eastAsia"/>
        </w:rPr>
        <w:t>In 5G, UE</w:t>
      </w:r>
      <w:r>
        <w:rPr>
          <w:rFonts w:hint="eastAsia"/>
        </w:rPr>
        <w:t>’</w:t>
      </w:r>
      <w:r>
        <w:rPr>
          <w:rFonts w:hint="eastAsia"/>
        </w:rPr>
        <w:t xml:space="preserve">s L1/L3 measurements to RAN via RRC. </w:t>
      </w:r>
      <w:r w:rsidR="00F11495">
        <w:rPr>
          <w:rFonts w:hint="eastAsia"/>
        </w:rPr>
        <w:t xml:space="preserve">A key issue </w:t>
      </w:r>
      <w:r w:rsidR="00F11495">
        <w:t xml:space="preserve">in 5G </w:t>
      </w:r>
      <w:r w:rsidR="00F11495">
        <w:rPr>
          <w:rFonts w:hint="eastAsia"/>
        </w:rPr>
        <w:t xml:space="preserve">is that an existing DRB cannot be directly established between the </w:t>
      </w:r>
      <w:proofErr w:type="spellStart"/>
      <w:r w:rsidR="00F11495">
        <w:rPr>
          <w:rFonts w:hint="eastAsia"/>
        </w:rPr>
        <w:t>gNB</w:t>
      </w:r>
      <w:proofErr w:type="spellEnd"/>
      <w:r w:rsidR="00F11495">
        <w:rPr>
          <w:rFonts w:hint="eastAsia"/>
        </w:rPr>
        <w:t xml:space="preserve"> and the UE for BS-terminated traffic, making it a major challenge</w:t>
      </w:r>
      <w:r w:rsidR="00F11495">
        <w:t xml:space="preserve"> in 6G</w:t>
      </w:r>
      <w:r w:rsidR="00F11495">
        <w:rPr>
          <w:rFonts w:hint="eastAsia"/>
        </w:rPr>
        <w:t xml:space="preserve"> to transfer large-volume UE training datasets to the RAN.</w:t>
      </w:r>
    </w:p>
    <w:p w14:paraId="1E0BF1A0" w14:textId="77777777" w:rsidR="006D035A" w:rsidRDefault="006D035A" w:rsidP="006D035A">
      <w:pPr>
        <w:numPr>
          <w:ilvl w:val="1"/>
          <w:numId w:val="8"/>
        </w:numPr>
      </w:pPr>
      <w:r>
        <w:rPr>
          <w:rFonts w:hint="eastAsia"/>
        </w:rPr>
        <w:t>Both the Application Layer (for external services) and network-internal layers like NAS/RRC (for network automation) can be utilized.</w:t>
      </w:r>
    </w:p>
    <w:p w14:paraId="32B88C51" w14:textId="77777777" w:rsidR="00310951" w:rsidRDefault="00310951" w:rsidP="00310951">
      <w:pPr>
        <w:ind w:left="1080"/>
      </w:pPr>
      <w:bookmarkStart w:id="7" w:name="_xo2nj256n3jz" w:colFirst="0" w:colLast="0"/>
      <w:bookmarkEnd w:id="7"/>
    </w:p>
    <w:p w14:paraId="5F2A989B" w14:textId="77777777" w:rsidR="001A533C" w:rsidRDefault="00000000">
      <w:pPr>
        <w:pStyle w:val="Heading4"/>
        <w:ind w:left="0" w:firstLine="0"/>
      </w:pPr>
      <w:r>
        <w:t>Sensing (ISAC)</w:t>
      </w:r>
    </w:p>
    <w:p w14:paraId="002D6C39" w14:textId="52EC7DB1" w:rsidR="001A533C" w:rsidRDefault="00000000">
      <w:r>
        <w:t xml:space="preserve">Sensing (ISAC) data refers to environment-related information obtained from 3GPP radio signal interactions, including reflections and Doppler features, as well as non-3GPP sensors. As it </w:t>
      </w:r>
      <w:r w:rsidR="00286BE3">
        <w:t xml:space="preserve">can </w:t>
      </w:r>
      <w:r>
        <w:t xml:space="preserve">serve both communication and sensing purposes, it demands ultra-low latency, high reliability, and consistent synchronization between sensing and data transport. </w:t>
      </w:r>
    </w:p>
    <w:p w14:paraId="699D681F" w14:textId="77777777" w:rsidR="001A533C" w:rsidRDefault="001A533C"/>
    <w:p w14:paraId="56B06DEA" w14:textId="77777777" w:rsidR="001A533C" w:rsidRDefault="00000000">
      <w:pPr>
        <w:numPr>
          <w:ilvl w:val="0"/>
          <w:numId w:val="3"/>
        </w:numPr>
      </w:pPr>
      <w:r>
        <w:rPr>
          <w:b/>
        </w:rPr>
        <w:t>Data Type</w:t>
      </w:r>
      <w:r>
        <w:t>: Various (3GPP and non-3GPP)</w:t>
      </w:r>
    </w:p>
    <w:p w14:paraId="49758D83" w14:textId="1D4763AA" w:rsidR="001A533C" w:rsidRDefault="00000000">
      <w:pPr>
        <w:numPr>
          <w:ilvl w:val="1"/>
          <w:numId w:val="3"/>
        </w:numPr>
      </w:pPr>
      <w:r>
        <w:t xml:space="preserve">Sensing-related data can include sensing control </w:t>
      </w:r>
      <w:proofErr w:type="spellStart"/>
      <w:r>
        <w:t>signalling</w:t>
      </w:r>
      <w:proofErr w:type="spellEnd"/>
      <w:r>
        <w:t xml:space="preserve"> (e.g., sensing capability exchange, sensing assistance data transfer, </w:t>
      </w:r>
      <w:r w:rsidR="00827D9C">
        <w:t>etc.</w:t>
      </w:r>
      <w:r>
        <w:t>) and sensing measurement/result data.</w:t>
      </w:r>
    </w:p>
    <w:p w14:paraId="3DC2BCD2" w14:textId="77777777" w:rsidR="001A533C" w:rsidRDefault="00000000">
      <w:pPr>
        <w:numPr>
          <w:ilvl w:val="1"/>
          <w:numId w:val="3"/>
        </w:numPr>
      </w:pPr>
      <w:r>
        <w:t xml:space="preserve">According to [TS 22.137], sensing data includes 3GPP sensing data (derived from 3GPP radio signals impacted e.g., reflected, refracted or diffracted by an object or environment) as well as non-3GPP sensing data (provided by non-3GPP sensors e.g., camera, radar, LiDAR, sonar or Wi-Fi sensing about an object or environment). Unlike AI /ML use cases which mainly focus on standardized data, sensing should also consider non-3GPP data. </w:t>
      </w:r>
    </w:p>
    <w:p w14:paraId="72D2A325" w14:textId="77777777" w:rsidR="001A533C" w:rsidRDefault="00000000">
      <w:pPr>
        <w:numPr>
          <w:ilvl w:val="0"/>
          <w:numId w:val="3"/>
        </w:numPr>
      </w:pPr>
      <w:r>
        <w:rPr>
          <w:b/>
        </w:rPr>
        <w:t xml:space="preserve">Data Size: </w:t>
      </w:r>
      <w:r>
        <w:t>Diverse</w:t>
      </w:r>
    </w:p>
    <w:p w14:paraId="15C9C100" w14:textId="49ADE3B2" w:rsidR="001A533C" w:rsidRDefault="00000000">
      <w:pPr>
        <w:numPr>
          <w:ilvl w:val="1"/>
          <w:numId w:val="3"/>
        </w:numPr>
      </w:pPr>
      <w:r>
        <w:t>For 3GPP sensing data, RAN1 is currently studying various measurement formats</w:t>
      </w:r>
      <w:r w:rsidR="00B403BF">
        <w:t>/level</w:t>
      </w:r>
      <w:r>
        <w:t xml:space="preserve"> (e.g., from raw </w:t>
      </w:r>
      <w:r w:rsidR="00B403BF">
        <w:t xml:space="preserve">data as Level 1 </w:t>
      </w:r>
      <w:r>
        <w:t>to sensing result</w:t>
      </w:r>
      <w:r w:rsidR="00B403BF">
        <w:t xml:space="preserve"> as Level 6</w:t>
      </w:r>
      <w:r>
        <w:t xml:space="preserve">) </w:t>
      </w:r>
      <w:r w:rsidR="00B403BF">
        <w:t xml:space="preserve">for object detection </w:t>
      </w:r>
      <w:r>
        <w:t xml:space="preserve">in </w:t>
      </w:r>
      <w:r w:rsidR="00B403BF">
        <w:t xml:space="preserve">Rel-20 </w:t>
      </w:r>
      <w:r>
        <w:t>5GA ISAC. Depending on sensing data format</w:t>
      </w:r>
      <w:r w:rsidR="00B403BF">
        <w:t>/level</w:t>
      </w:r>
      <w:r>
        <w:t xml:space="preserve"> (e.g., measurements, point clouds, features, object/scene information), high-resolution sensing data (e.g., raw waveforms, point clouds) is massive and continuous, presenting a high risk of overwhelming transport resources.</w:t>
      </w:r>
    </w:p>
    <w:p w14:paraId="77FDC888" w14:textId="51407BB9" w:rsidR="001A533C" w:rsidRDefault="00000000">
      <w:pPr>
        <w:numPr>
          <w:ilvl w:val="1"/>
          <w:numId w:val="3"/>
        </w:numPr>
      </w:pPr>
      <w:r>
        <w:t>For non-3GPP sensing data</w:t>
      </w:r>
      <w:r w:rsidR="00B403BF">
        <w:t xml:space="preserve"> (</w:t>
      </w:r>
      <w:r>
        <w:t>ref</w:t>
      </w:r>
      <w:r w:rsidR="00B403BF">
        <w:t xml:space="preserve">: </w:t>
      </w:r>
      <w:r>
        <w:t>TR 22.837</w:t>
      </w:r>
      <w:r w:rsidR="00B403BF">
        <w:t>]</w:t>
      </w:r>
      <w:r>
        <w:t xml:space="preserve">, 3D Lidar:30 Mbps, Industrial RGB Camera:16 ~ 800 Mbps, and Smart Phone Camera: 4 ~ 200 Mbps. But the detailed format and requirements for 5G as well as 6G are not specified yet. </w:t>
      </w:r>
    </w:p>
    <w:p w14:paraId="5E02F7B3" w14:textId="1309BE26" w:rsidR="001A533C" w:rsidRDefault="00000000">
      <w:pPr>
        <w:numPr>
          <w:ilvl w:val="0"/>
          <w:numId w:val="3"/>
        </w:numPr>
      </w:pPr>
      <w:r>
        <w:rPr>
          <w:b/>
        </w:rPr>
        <w:t>Latency</w:t>
      </w:r>
      <w:r>
        <w:t xml:space="preserve">: </w:t>
      </w:r>
      <w:r w:rsidR="00286BE3">
        <w:t>Diverse (</w:t>
      </w:r>
      <w:r>
        <w:t>Real-time</w:t>
      </w:r>
      <w:r w:rsidR="00286BE3">
        <w:t xml:space="preserve"> ~ Relaxed)</w:t>
      </w:r>
    </w:p>
    <w:p w14:paraId="32E57641" w14:textId="2DB2D6F3" w:rsidR="001A533C" w:rsidRDefault="00000000">
      <w:pPr>
        <w:numPr>
          <w:ilvl w:val="1"/>
          <w:numId w:val="3"/>
        </w:numPr>
      </w:pPr>
      <w:r>
        <w:t xml:space="preserve">According to [TS 22.137, TR 22.837], </w:t>
      </w:r>
      <w:r w:rsidR="00286BE3">
        <w:t xml:space="preserve">use cases such as </w:t>
      </w:r>
      <w:r>
        <w:t>object detection</w:t>
      </w:r>
      <w:r w:rsidR="00286BE3">
        <w:t>/</w:t>
      </w:r>
      <w:r>
        <w:t xml:space="preserve">tracking </w:t>
      </w:r>
      <w:r w:rsidR="00286BE3">
        <w:t xml:space="preserve">and motion tracking </w:t>
      </w:r>
      <w:r w:rsidR="00827D9C">
        <w:t>require</w:t>
      </w:r>
      <w:r>
        <w:t xml:space="preserve"> real-time (</w:t>
      </w:r>
      <w:r w:rsidR="00286BE3">
        <w:t>e.g., 5ms, 100ms</w:t>
      </w:r>
      <w:r>
        <w:t>), approaching the physical limits of the radio interface, coupled with high reliability (e.g., URLLC-level)</w:t>
      </w:r>
      <w:r w:rsidR="00286BE3">
        <w:t>, while use cases such as environment monitoring may require relaxed latency (e.g., 60s)</w:t>
      </w:r>
    </w:p>
    <w:p w14:paraId="27F6687E" w14:textId="77777777" w:rsidR="001A533C" w:rsidRDefault="00000000">
      <w:pPr>
        <w:numPr>
          <w:ilvl w:val="0"/>
          <w:numId w:val="3"/>
        </w:numPr>
      </w:pPr>
      <w:r>
        <w:rPr>
          <w:b/>
        </w:rPr>
        <w:t>Producer and Consumer</w:t>
      </w:r>
      <w:r>
        <w:t>: Multiple</w:t>
      </w:r>
    </w:p>
    <w:p w14:paraId="33136B30" w14:textId="51413B04" w:rsidR="001A533C" w:rsidRDefault="00000000">
      <w:pPr>
        <w:numPr>
          <w:ilvl w:val="1"/>
          <w:numId w:val="3"/>
        </w:numPr>
      </w:pPr>
      <w:r>
        <w:t>Sensing data can be produced and consumed by multiple entities with distinct roles based on different sensing modes and sensing architecture</w:t>
      </w:r>
      <w:r w:rsidR="00F11495">
        <w:t>.</w:t>
      </w:r>
    </w:p>
    <w:p w14:paraId="0B03D9DF" w14:textId="77777777" w:rsidR="001A533C" w:rsidRDefault="00000000">
      <w:pPr>
        <w:numPr>
          <w:ilvl w:val="1"/>
          <w:numId w:val="3"/>
        </w:numPr>
      </w:pPr>
      <w:r>
        <w:t>Sensing Entity (UE or RAN) produces sensing data depending on sensing modes (e.g., UE/TRP monostatic, UE-UE/TRP-TRP bistatic, UE-TRP/TRP-UE bistatic). Also, cooperative and multi-static sensing involves multiple UEs and TRPs.</w:t>
      </w:r>
    </w:p>
    <w:p w14:paraId="2DC9F3CA" w14:textId="40ECEAAA" w:rsidR="001A533C" w:rsidRDefault="00000000">
      <w:pPr>
        <w:numPr>
          <w:ilvl w:val="1"/>
          <w:numId w:val="3"/>
        </w:numPr>
      </w:pPr>
      <w:r>
        <w:t>Sensing consumers can be UE, RAN, CN and external servers (e.g., 3rd party application server). UE itself can be sensing consumers. Some sensing data should be processed locally at the BS for radio control and optimization (e.g., sensing-assisted communication), while other sensing data may need to reach core-network functions (e.g., Sensing Function (SF), Sensing Control Function (SCF), Sensing Processing Function (SPF) under study TR 23.700-14 or operator-controlled / trusted third-party endpoints, depending on operator deployment and system design.</w:t>
      </w:r>
    </w:p>
    <w:p w14:paraId="379A5391" w14:textId="5BF3530C" w:rsidR="001A533C" w:rsidRDefault="00000000">
      <w:pPr>
        <w:numPr>
          <w:ilvl w:val="0"/>
          <w:numId w:val="3"/>
        </w:numPr>
      </w:pPr>
      <w:r>
        <w:rPr>
          <w:b/>
        </w:rPr>
        <w:t>Protocol</w:t>
      </w:r>
      <w:r>
        <w:t xml:space="preserve">: Non-IP and IP </w:t>
      </w:r>
    </w:p>
    <w:p w14:paraId="1A90E5DB" w14:textId="6EC5DB1F" w:rsidR="001A533C" w:rsidRDefault="00000000" w:rsidP="00310951">
      <w:pPr>
        <w:numPr>
          <w:ilvl w:val="1"/>
          <w:numId w:val="3"/>
        </w:numPr>
      </w:pPr>
      <w:r>
        <w:t>Sensing data can be transferred via non-IP transport (e.g., RRC/NAS extensions or native non-IP paths) for network-internal sensing control, or via IP-based user-plane transport for external analytics.</w:t>
      </w:r>
    </w:p>
    <w:p w14:paraId="398AFF77" w14:textId="77777777" w:rsidR="00310951" w:rsidRDefault="00310951" w:rsidP="00310951"/>
    <w:p w14:paraId="43CEC03A" w14:textId="77777777" w:rsidR="001A533C" w:rsidRDefault="00000000">
      <w:pPr>
        <w:pStyle w:val="Heading4"/>
        <w:ind w:left="0" w:firstLine="0"/>
      </w:pPr>
      <w:bookmarkStart w:id="8" w:name="_3wubl88du5hm" w:colFirst="0" w:colLast="0"/>
      <w:bookmarkEnd w:id="8"/>
      <w:r>
        <w:lastRenderedPageBreak/>
        <w:t>SON/MDT</w:t>
      </w:r>
    </w:p>
    <w:p w14:paraId="6DB1375A" w14:textId="77777777" w:rsidR="001A533C" w:rsidRDefault="00000000">
      <w:r>
        <w:t>SON/MDT data consists of standardized network performance and measurement reports (e.g., RSRP, RSRQ, location, event logs) used for coverage, mobility, and service quality optimization. These data are typically small in volume and non-real-time, transferred mainly through RRC-based control-plane signaling between UE, RAN, and OAM.</w:t>
      </w:r>
    </w:p>
    <w:p w14:paraId="42A56012" w14:textId="77777777" w:rsidR="001A533C" w:rsidRDefault="001A533C"/>
    <w:p w14:paraId="5D636D6D" w14:textId="77777777" w:rsidR="001A533C" w:rsidRDefault="00000000">
      <w:pPr>
        <w:numPr>
          <w:ilvl w:val="0"/>
          <w:numId w:val="1"/>
        </w:numPr>
      </w:pPr>
      <w:r>
        <w:rPr>
          <w:b/>
        </w:rPr>
        <w:t>Data Type</w:t>
      </w:r>
      <w:r>
        <w:t>: Structured network performance metrics</w:t>
      </w:r>
    </w:p>
    <w:p w14:paraId="4A69D519" w14:textId="77F4F4ED" w:rsidR="001A533C" w:rsidRDefault="00000000">
      <w:pPr>
        <w:numPr>
          <w:ilvl w:val="1"/>
          <w:numId w:val="1"/>
        </w:numPr>
      </w:pPr>
      <w:r>
        <w:t>SON/MDT data typically includes performance statistics, coverage/mobility status data</w:t>
      </w:r>
      <w:r w:rsidR="00F11495">
        <w:t>.</w:t>
      </w:r>
    </w:p>
    <w:p w14:paraId="59210C81" w14:textId="77777777" w:rsidR="001A533C" w:rsidRDefault="00000000">
      <w:pPr>
        <w:numPr>
          <w:ilvl w:val="0"/>
          <w:numId w:val="1"/>
        </w:numPr>
      </w:pPr>
      <w:r>
        <w:rPr>
          <w:b/>
        </w:rPr>
        <w:t xml:space="preserve">Data Size: </w:t>
      </w:r>
      <w:r>
        <w:t>Small</w:t>
      </w:r>
    </w:p>
    <w:p w14:paraId="63E98455" w14:textId="77777777" w:rsidR="001A533C" w:rsidRDefault="00000000">
      <w:pPr>
        <w:numPr>
          <w:ilvl w:val="1"/>
          <w:numId w:val="1"/>
        </w:numPr>
      </w:pPr>
      <w:r>
        <w:t>Data consists of standardized, formal measurement reports as below. The reports are small volumes.</w:t>
      </w:r>
    </w:p>
    <w:p w14:paraId="1086980F" w14:textId="0C73D5AD" w:rsidR="001A533C" w:rsidRDefault="00000000" w:rsidP="00C562E0">
      <w:pPr>
        <w:pStyle w:val="ListParagraph"/>
        <w:numPr>
          <w:ilvl w:val="2"/>
          <w:numId w:val="5"/>
        </w:numPr>
      </w:pPr>
      <w:r>
        <w:t xml:space="preserve">RRM measurements (e.g., RSRP, RSRQ, SINR, </w:t>
      </w:r>
      <w:proofErr w:type="spellStart"/>
      <w:r>
        <w:t>etc</w:t>
      </w:r>
      <w:proofErr w:type="spellEnd"/>
      <w:r>
        <w:t>)</w:t>
      </w:r>
    </w:p>
    <w:p w14:paraId="16842F80" w14:textId="55F92865" w:rsidR="001A533C" w:rsidRDefault="00000000" w:rsidP="00C562E0">
      <w:pPr>
        <w:pStyle w:val="ListParagraph"/>
        <w:numPr>
          <w:ilvl w:val="2"/>
          <w:numId w:val="5"/>
        </w:numPr>
      </w:pPr>
      <w:r>
        <w:t xml:space="preserve">UE location information (GNSS, cell ID, TAI, </w:t>
      </w:r>
      <w:proofErr w:type="spellStart"/>
      <w:r>
        <w:t>etc</w:t>
      </w:r>
      <w:proofErr w:type="spellEnd"/>
      <w:r>
        <w:t>)</w:t>
      </w:r>
    </w:p>
    <w:p w14:paraId="681EEFE1" w14:textId="2A701F34" w:rsidR="001A533C" w:rsidRDefault="00000000" w:rsidP="00C562E0">
      <w:pPr>
        <w:pStyle w:val="ListParagraph"/>
        <w:numPr>
          <w:ilvl w:val="2"/>
          <w:numId w:val="5"/>
        </w:numPr>
      </w:pPr>
      <w:r>
        <w:t xml:space="preserve">Connected status (e.g., RRC state, </w:t>
      </w:r>
      <w:proofErr w:type="spellStart"/>
      <w:r>
        <w:t>etc</w:t>
      </w:r>
      <w:proofErr w:type="spellEnd"/>
      <w:r>
        <w:t>)</w:t>
      </w:r>
    </w:p>
    <w:p w14:paraId="05E5754A" w14:textId="64397E89" w:rsidR="001A533C" w:rsidRDefault="00000000" w:rsidP="00C562E0">
      <w:pPr>
        <w:pStyle w:val="ListParagraph"/>
        <w:numPr>
          <w:ilvl w:val="2"/>
          <w:numId w:val="5"/>
        </w:numPr>
      </w:pPr>
      <w:r>
        <w:t xml:space="preserve">Event reporting (e.g., RLF, HOF, CEF, </w:t>
      </w:r>
      <w:proofErr w:type="spellStart"/>
      <w:r>
        <w:t>etc</w:t>
      </w:r>
      <w:proofErr w:type="spellEnd"/>
      <w:r>
        <w:t>)</w:t>
      </w:r>
    </w:p>
    <w:p w14:paraId="4ED15699" w14:textId="70D29410" w:rsidR="001A533C" w:rsidRDefault="00000000" w:rsidP="00C562E0">
      <w:pPr>
        <w:pStyle w:val="ListParagraph"/>
        <w:numPr>
          <w:ilvl w:val="2"/>
          <w:numId w:val="5"/>
        </w:numPr>
      </w:pPr>
      <w:r>
        <w:t xml:space="preserve">Service Quality (e.g., throughput, packet delay, BLER, </w:t>
      </w:r>
      <w:proofErr w:type="spellStart"/>
      <w:r>
        <w:t>etc</w:t>
      </w:r>
      <w:proofErr w:type="spellEnd"/>
      <w:r>
        <w:t>)</w:t>
      </w:r>
    </w:p>
    <w:p w14:paraId="4FF406B2" w14:textId="3A6DE7C1" w:rsidR="001A533C" w:rsidRDefault="00000000">
      <w:pPr>
        <w:numPr>
          <w:ilvl w:val="0"/>
          <w:numId w:val="1"/>
        </w:numPr>
      </w:pPr>
      <w:r>
        <w:rPr>
          <w:b/>
        </w:rPr>
        <w:t>Latency</w:t>
      </w:r>
      <w:r>
        <w:t xml:space="preserve">: </w:t>
      </w:r>
      <w:r w:rsidR="00F11495">
        <w:t>Diverse (M</w:t>
      </w:r>
      <w:r w:rsidR="00F11495" w:rsidRPr="00F11495">
        <w:t xml:space="preserve">edium </w:t>
      </w:r>
      <w:r w:rsidR="00F11495">
        <w:t>latency ~</w:t>
      </w:r>
      <w:r w:rsidR="00F11495" w:rsidRPr="00F11495">
        <w:t xml:space="preserve"> </w:t>
      </w:r>
      <w:r>
        <w:t>Relaxed</w:t>
      </w:r>
      <w:r w:rsidR="00F11495">
        <w:t>)</w:t>
      </w:r>
    </w:p>
    <w:p w14:paraId="5FB1AFB5" w14:textId="515984B6" w:rsidR="001A533C" w:rsidRDefault="00000000">
      <w:pPr>
        <w:numPr>
          <w:ilvl w:val="1"/>
          <w:numId w:val="1"/>
        </w:numPr>
        <w:rPr>
          <w:rFonts w:ascii="Arial" w:eastAsia="Arial" w:hAnsi="Arial" w:cs="Arial"/>
        </w:rPr>
      </w:pPr>
      <w:r>
        <w:t xml:space="preserve">Latency requirements are medium to relaxed (i.e., </w:t>
      </w:r>
      <w:proofErr w:type="spellStart"/>
      <w:proofErr w:type="gramStart"/>
      <w:r>
        <w:t>non real-time</w:t>
      </w:r>
      <w:proofErr w:type="spellEnd"/>
      <w:proofErr w:type="gramEnd"/>
      <w:r>
        <w:t>), primarily serving as network observation data rather than real-time control</w:t>
      </w:r>
      <w:r w:rsidR="00F11495">
        <w:t>.</w:t>
      </w:r>
    </w:p>
    <w:p w14:paraId="3EAE92D0" w14:textId="77777777" w:rsidR="001A533C" w:rsidRDefault="00000000">
      <w:pPr>
        <w:numPr>
          <w:ilvl w:val="0"/>
          <w:numId w:val="1"/>
        </w:numPr>
        <w:rPr>
          <w:b/>
        </w:rPr>
      </w:pPr>
      <w:r>
        <w:rPr>
          <w:b/>
        </w:rPr>
        <w:t xml:space="preserve">Producer and Consumer: </w:t>
      </w:r>
      <w:r>
        <w:t>UE to RAN/OAM</w:t>
      </w:r>
    </w:p>
    <w:p w14:paraId="4A430A28" w14:textId="77777777" w:rsidR="001A533C" w:rsidRDefault="00000000">
      <w:pPr>
        <w:numPr>
          <w:ilvl w:val="1"/>
          <w:numId w:val="1"/>
        </w:numPr>
      </w:pPr>
      <w:r>
        <w:t>Since LTE, two MDT modes have been supported: logged MDT, which collects measurement data while the UE is in RRC_IDLE or RRC_INACTIVE state, and immediate MDT, which reuses RRM measurements during RRC_CONNECTED operation. In both cases, SON/MDT data are collected at the UE and subsequently aggregated at the RAN and/or OAM for network optimization.</w:t>
      </w:r>
    </w:p>
    <w:p w14:paraId="08E97D25" w14:textId="05C5C8B3" w:rsidR="001A533C" w:rsidRDefault="00000000">
      <w:pPr>
        <w:numPr>
          <w:ilvl w:val="0"/>
          <w:numId w:val="1"/>
        </w:numPr>
      </w:pPr>
      <w:r>
        <w:rPr>
          <w:b/>
        </w:rPr>
        <w:t>Protocol</w:t>
      </w:r>
      <w:r>
        <w:t>: Non-IP (RRC)</w:t>
      </w:r>
    </w:p>
    <w:p w14:paraId="0072BB67" w14:textId="77777777" w:rsidR="001A533C" w:rsidRDefault="00000000">
      <w:pPr>
        <w:numPr>
          <w:ilvl w:val="1"/>
          <w:numId w:val="1"/>
        </w:numPr>
      </w:pPr>
      <w:r>
        <w:t>SON/MDT data are primarily transferred via non-IP, RRC-based control-plane signaling between UE, RAN, and OAM.</w:t>
      </w:r>
    </w:p>
    <w:p w14:paraId="4C8C126B" w14:textId="77777777" w:rsidR="001A533C" w:rsidRDefault="001A533C"/>
    <w:p w14:paraId="34AB6EF6" w14:textId="77777777" w:rsidR="001A533C" w:rsidRDefault="00000000">
      <w:pPr>
        <w:pStyle w:val="Heading4"/>
        <w:ind w:left="0" w:firstLine="0"/>
      </w:pPr>
      <w:bookmarkStart w:id="9" w:name="_v118pgugwz91" w:colFirst="0" w:colLast="0"/>
      <w:bookmarkEnd w:id="9"/>
      <w:proofErr w:type="spellStart"/>
      <w:r>
        <w:t>QoE</w:t>
      </w:r>
      <w:proofErr w:type="spellEnd"/>
    </w:p>
    <w:p w14:paraId="2FCC9B60" w14:textId="77777777" w:rsidR="001A533C" w:rsidRDefault="00000000">
      <w:r>
        <w:t>Quality of Experience (</w:t>
      </w:r>
      <w:proofErr w:type="spellStart"/>
      <w:r>
        <w:t>QoE</w:t>
      </w:r>
      <w:proofErr w:type="spellEnd"/>
      <w:r>
        <w:t>) aims to evaluate and optimize service quality from the user’s perspective, allowing the network to adjust resources and parameters in real time to maintain or improve the perceived experience of applications such as video streaming, gaming, or XR services.</w:t>
      </w:r>
    </w:p>
    <w:p w14:paraId="57717AB4" w14:textId="77777777" w:rsidR="001A533C" w:rsidRDefault="001A533C"/>
    <w:p w14:paraId="377D3A83" w14:textId="77777777" w:rsidR="001A533C" w:rsidRDefault="00000000">
      <w:pPr>
        <w:numPr>
          <w:ilvl w:val="0"/>
          <w:numId w:val="4"/>
        </w:numPr>
      </w:pPr>
      <w:r>
        <w:rPr>
          <w:b/>
        </w:rPr>
        <w:t>Data Type</w:t>
      </w:r>
      <w:r>
        <w:t>: User experience metrics</w:t>
      </w:r>
    </w:p>
    <w:p w14:paraId="5A3A7560" w14:textId="77777777" w:rsidR="001A533C" w:rsidRDefault="00000000">
      <w:pPr>
        <w:numPr>
          <w:ilvl w:val="1"/>
          <w:numId w:val="4"/>
        </w:numPr>
      </w:pPr>
      <w:proofErr w:type="spellStart"/>
      <w:r>
        <w:t>QoE</w:t>
      </w:r>
      <w:proofErr w:type="spellEnd"/>
      <w:r>
        <w:t xml:space="preserve"> data can be divided into application-layer metrics (e.g., video start-up time, playback continuity, overall video quality) and RAN-related metrics (e.g., latency and jitter, throughput, network slicing performance).</w:t>
      </w:r>
    </w:p>
    <w:p w14:paraId="0FB5D026" w14:textId="77777777" w:rsidR="001A533C" w:rsidRDefault="00000000">
      <w:pPr>
        <w:numPr>
          <w:ilvl w:val="0"/>
          <w:numId w:val="4"/>
        </w:numPr>
      </w:pPr>
      <w:r>
        <w:rPr>
          <w:b/>
        </w:rPr>
        <w:t>Data Size</w:t>
      </w:r>
      <w:r>
        <w:t xml:space="preserve">: Small </w:t>
      </w:r>
    </w:p>
    <w:p w14:paraId="4CFF0756" w14:textId="19E7ACD5" w:rsidR="001A533C" w:rsidRDefault="000F454F">
      <w:pPr>
        <w:numPr>
          <w:ilvl w:val="1"/>
          <w:numId w:val="4"/>
        </w:numPr>
      </w:pPr>
      <w:proofErr w:type="spellStart"/>
      <w:r>
        <w:t>QoE</w:t>
      </w:r>
      <w:proofErr w:type="spellEnd"/>
      <w:r>
        <w:t xml:space="preserve"> data typically consist of compact metrics or feedback indicators—such as streaming buffer level, playback delay, or perceived quality scores—which are a few bytes to several kilobytes per report, far smaller than user-plane media data but often reported frequently for real-time adaptation.</w:t>
      </w:r>
    </w:p>
    <w:p w14:paraId="6EC95DA8" w14:textId="60901854" w:rsidR="001A533C" w:rsidRDefault="00000000">
      <w:pPr>
        <w:numPr>
          <w:ilvl w:val="0"/>
          <w:numId w:val="4"/>
        </w:numPr>
      </w:pPr>
      <w:r>
        <w:rPr>
          <w:b/>
        </w:rPr>
        <w:t>Latency</w:t>
      </w:r>
      <w:r>
        <w:t xml:space="preserve">: </w:t>
      </w:r>
      <w:r w:rsidR="006D035A">
        <w:t>Diverse (Medium</w:t>
      </w:r>
      <w:r>
        <w:t xml:space="preserve"> latency ~ Relaxed</w:t>
      </w:r>
      <w:r w:rsidR="006D035A">
        <w:t>)</w:t>
      </w:r>
    </w:p>
    <w:p w14:paraId="3E1AFA0E" w14:textId="067C9441" w:rsidR="001A533C" w:rsidRDefault="00000000">
      <w:pPr>
        <w:numPr>
          <w:ilvl w:val="1"/>
          <w:numId w:val="4"/>
        </w:numPr>
      </w:pPr>
      <w:proofErr w:type="spellStart"/>
      <w:r>
        <w:t>QoE</w:t>
      </w:r>
      <w:proofErr w:type="spellEnd"/>
      <w:r>
        <w:t xml:space="preserve"> feedback requires </w:t>
      </w:r>
      <w:r w:rsidR="006D035A">
        <w:t>medium</w:t>
      </w:r>
      <w:r>
        <w:t xml:space="preserve"> and relaxed latency to ensure the network can react to maintain service quality. </w:t>
      </w:r>
    </w:p>
    <w:p w14:paraId="2BF7C6E0" w14:textId="38109E4E" w:rsidR="001A533C" w:rsidRDefault="00000000">
      <w:pPr>
        <w:numPr>
          <w:ilvl w:val="0"/>
          <w:numId w:val="4"/>
        </w:numPr>
      </w:pPr>
      <w:r>
        <w:rPr>
          <w:b/>
        </w:rPr>
        <w:t>Producer and Consumer</w:t>
      </w:r>
      <w:r>
        <w:t>: UE to CN (</w:t>
      </w:r>
      <w:proofErr w:type="spellStart"/>
      <w:r>
        <w:t>QoE</w:t>
      </w:r>
      <w:proofErr w:type="spellEnd"/>
      <w:r>
        <w:t xml:space="preserve"> Server)/</w:t>
      </w:r>
      <w:r w:rsidR="006D035A">
        <w:t>RAN</w:t>
      </w:r>
    </w:p>
    <w:p w14:paraId="5B954668" w14:textId="77777777" w:rsidR="001A533C" w:rsidRDefault="00000000">
      <w:pPr>
        <w:numPr>
          <w:ilvl w:val="1"/>
          <w:numId w:val="4"/>
        </w:numPr>
        <w:tabs>
          <w:tab w:val="left" w:pos="1843"/>
        </w:tabs>
      </w:pPr>
      <w:r>
        <w:t xml:space="preserve">In LTE, </w:t>
      </w:r>
      <w:proofErr w:type="spellStart"/>
      <w:r>
        <w:t>QoE</w:t>
      </w:r>
      <w:proofErr w:type="spellEnd"/>
      <w:r>
        <w:t xml:space="preserve"> information was confined to the application layer, with the 3GPP network—including the RAN—serving only as a data transport tunnel. In 5G NR, the concept of RAN-visible </w:t>
      </w:r>
      <w:proofErr w:type="spellStart"/>
      <w:r>
        <w:t>QoE</w:t>
      </w:r>
      <w:proofErr w:type="spellEnd"/>
      <w:r>
        <w:t xml:space="preserve"> (</w:t>
      </w:r>
      <w:proofErr w:type="spellStart"/>
      <w:r>
        <w:t>RVQoE</w:t>
      </w:r>
      <w:proofErr w:type="spellEnd"/>
      <w:r>
        <w:t xml:space="preserve">) was introduced, enabling the RAN to optimize radio resources based on application-layer service quality. However, since </w:t>
      </w:r>
      <w:proofErr w:type="spellStart"/>
      <w:r>
        <w:t>QoE</w:t>
      </w:r>
      <w:proofErr w:type="spellEnd"/>
      <w:r>
        <w:t xml:space="preserve"> metrics may need to be reported to both the application layer and the RAN through separate configurations, redundant reporting and measurement can occur, leading to inefficient use of air-interface resources and increased UE complexity and power consumption.</w:t>
      </w:r>
    </w:p>
    <w:p w14:paraId="08BAE51E" w14:textId="67DE2EEF" w:rsidR="001A533C" w:rsidRDefault="00000000">
      <w:pPr>
        <w:numPr>
          <w:ilvl w:val="0"/>
          <w:numId w:val="4"/>
        </w:numPr>
      </w:pPr>
      <w:r>
        <w:rPr>
          <w:b/>
        </w:rPr>
        <w:t>Protocol</w:t>
      </w:r>
      <w:r>
        <w:t>: Non-IP (RRC)</w:t>
      </w:r>
    </w:p>
    <w:p w14:paraId="04F46181" w14:textId="77777777" w:rsidR="001A533C" w:rsidRDefault="00000000">
      <w:pPr>
        <w:numPr>
          <w:ilvl w:val="1"/>
          <w:numId w:val="4"/>
        </w:numPr>
      </w:pPr>
      <w:proofErr w:type="spellStart"/>
      <w:r>
        <w:t>RVQoE</w:t>
      </w:r>
      <w:proofErr w:type="spellEnd"/>
      <w:r>
        <w:t xml:space="preserve"> introduced a non-IP (RRC-based) feedback channel for small </w:t>
      </w:r>
      <w:proofErr w:type="spellStart"/>
      <w:r>
        <w:t>QoE</w:t>
      </w:r>
      <w:proofErr w:type="spellEnd"/>
      <w:r>
        <w:t xml:space="preserve"> metrics, allowing RAN to use </w:t>
      </w:r>
      <w:proofErr w:type="spellStart"/>
      <w:r>
        <w:t>QoE</w:t>
      </w:r>
      <w:proofErr w:type="spellEnd"/>
      <w:r>
        <w:t xml:space="preserve"> information for radio optimization.</w:t>
      </w:r>
    </w:p>
    <w:p w14:paraId="2E4D4EC8" w14:textId="77777777" w:rsidR="001A533C" w:rsidRDefault="001A533C">
      <w:pPr>
        <w:tabs>
          <w:tab w:val="left" w:pos="1843"/>
        </w:tabs>
      </w:pPr>
    </w:p>
    <w:p w14:paraId="66D41BFB" w14:textId="51BB7292" w:rsidR="001A533C" w:rsidRDefault="00000000">
      <w:pPr>
        <w:pBdr>
          <w:top w:val="nil"/>
          <w:left w:val="nil"/>
          <w:bottom w:val="nil"/>
          <w:right w:val="nil"/>
          <w:between w:val="nil"/>
        </w:pBdr>
        <w:tabs>
          <w:tab w:val="left" w:pos="0"/>
        </w:tabs>
        <w:ind w:left="1701" w:hanging="1701"/>
        <w:rPr>
          <w:b/>
          <w:color w:val="000000"/>
        </w:rPr>
      </w:pPr>
      <w:r>
        <w:rPr>
          <w:rFonts w:eastAsia="Times New Roman"/>
          <w:b/>
          <w:color w:val="000000"/>
        </w:rPr>
        <w:t>Observation 3.</w:t>
      </w:r>
      <w:r>
        <w:rPr>
          <w:rFonts w:eastAsia="Times New Roman"/>
          <w:b/>
          <w:color w:val="000000"/>
        </w:rPr>
        <w:tab/>
        <w:t xml:space="preserve">Non-user data (such as AI/ML, sensing, SON/MDT, and </w:t>
      </w:r>
      <w:proofErr w:type="spellStart"/>
      <w:r>
        <w:rPr>
          <w:rFonts w:eastAsia="Times New Roman"/>
          <w:b/>
          <w:color w:val="000000"/>
        </w:rPr>
        <w:t>QoE</w:t>
      </w:r>
      <w:proofErr w:type="spellEnd"/>
      <w:r>
        <w:rPr>
          <w:rFonts w:eastAsia="Times New Roman"/>
          <w:b/>
          <w:color w:val="000000"/>
        </w:rPr>
        <w:t xml:space="preserve">) exhibit diverse data types and sizes, involve multiple producer–consumer terminations, and require various </w:t>
      </w:r>
      <w:r w:rsidR="00DA0AD3">
        <w:rPr>
          <w:rFonts w:eastAsia="Times New Roman"/>
          <w:b/>
          <w:color w:val="000000"/>
        </w:rPr>
        <w:t>latency</w:t>
      </w:r>
      <w:r>
        <w:rPr>
          <w:rFonts w:eastAsia="Times New Roman"/>
          <w:b/>
          <w:color w:val="000000"/>
        </w:rPr>
        <w:t xml:space="preserve"> levels, as presented in Table</w:t>
      </w:r>
      <w:r w:rsidR="005D01C2">
        <w:rPr>
          <w:rFonts w:eastAsia="Times New Roman"/>
          <w:b/>
          <w:color w:val="000000"/>
        </w:rPr>
        <w:t xml:space="preserve"> </w:t>
      </w:r>
      <w:r>
        <w:rPr>
          <w:rFonts w:eastAsia="Times New Roman"/>
          <w:b/>
          <w:color w:val="000000"/>
        </w:rPr>
        <w:t>1</w:t>
      </w:r>
      <w:r w:rsidR="00DA0AD3">
        <w:rPr>
          <w:rFonts w:eastAsia="Times New Roman"/>
          <w:b/>
          <w:color w:val="000000"/>
        </w:rPr>
        <w:t>.</w:t>
      </w:r>
    </w:p>
    <w:p w14:paraId="72425767" w14:textId="77777777" w:rsidR="001A533C" w:rsidRDefault="001A533C">
      <w:pPr>
        <w:tabs>
          <w:tab w:val="left" w:pos="1843"/>
        </w:tabs>
        <w:ind w:left="1842"/>
        <w:rPr>
          <w:b/>
        </w:rPr>
      </w:pPr>
    </w:p>
    <w:p w14:paraId="762007D8" w14:textId="77777777" w:rsidR="001A533C" w:rsidRDefault="00000000">
      <w:pPr>
        <w:jc w:val="center"/>
        <w:rPr>
          <w:b/>
        </w:rPr>
      </w:pPr>
      <w:r>
        <w:rPr>
          <w:b/>
        </w:rPr>
        <w:t>&lt;Table 1. Simplified characteristics of non-user data&gt;</w:t>
      </w:r>
    </w:p>
    <w:tbl>
      <w:tblPr>
        <w:tblStyle w:val="a0"/>
        <w:tblW w:w="1036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86"/>
        <w:gridCol w:w="1707"/>
        <w:gridCol w:w="1442"/>
        <w:gridCol w:w="1609"/>
        <w:gridCol w:w="1417"/>
        <w:gridCol w:w="1701"/>
        <w:gridCol w:w="1303"/>
      </w:tblGrid>
      <w:tr w:rsidR="001A533C" w14:paraId="2916240F" w14:textId="77777777" w:rsidTr="00C562E0">
        <w:tc>
          <w:tcPr>
            <w:tcW w:w="1186" w:type="dxa"/>
            <w:shd w:val="clear" w:color="auto" w:fill="D9D9D9"/>
            <w:tcMar>
              <w:top w:w="100" w:type="dxa"/>
              <w:left w:w="100" w:type="dxa"/>
              <w:bottom w:w="100" w:type="dxa"/>
              <w:right w:w="100" w:type="dxa"/>
            </w:tcMar>
          </w:tcPr>
          <w:p w14:paraId="45D9EC38" w14:textId="77777777" w:rsidR="001A533C" w:rsidRDefault="00000000">
            <w:pPr>
              <w:widowControl w:val="0"/>
            </w:pPr>
            <w:r>
              <w:t>Service</w:t>
            </w:r>
          </w:p>
        </w:tc>
        <w:tc>
          <w:tcPr>
            <w:tcW w:w="1707" w:type="dxa"/>
            <w:shd w:val="clear" w:color="auto" w:fill="D9D9D9"/>
            <w:tcMar>
              <w:top w:w="100" w:type="dxa"/>
              <w:left w:w="100" w:type="dxa"/>
              <w:bottom w:w="100" w:type="dxa"/>
              <w:right w:w="100" w:type="dxa"/>
            </w:tcMar>
          </w:tcPr>
          <w:p w14:paraId="5447F8D5" w14:textId="77777777" w:rsidR="001A533C" w:rsidRDefault="00000000">
            <w:pPr>
              <w:widowControl w:val="0"/>
            </w:pPr>
            <w:r>
              <w:t>Data Type</w:t>
            </w:r>
          </w:p>
        </w:tc>
        <w:tc>
          <w:tcPr>
            <w:tcW w:w="1442" w:type="dxa"/>
            <w:shd w:val="clear" w:color="auto" w:fill="D9D9D9"/>
            <w:tcMar>
              <w:top w:w="100" w:type="dxa"/>
              <w:left w:w="100" w:type="dxa"/>
              <w:bottom w:w="100" w:type="dxa"/>
              <w:right w:w="100" w:type="dxa"/>
            </w:tcMar>
          </w:tcPr>
          <w:p w14:paraId="6821F112" w14:textId="77777777" w:rsidR="001A533C" w:rsidRDefault="00000000">
            <w:pPr>
              <w:widowControl w:val="0"/>
            </w:pPr>
            <w:r>
              <w:t>Data Size</w:t>
            </w:r>
          </w:p>
        </w:tc>
        <w:tc>
          <w:tcPr>
            <w:tcW w:w="1609" w:type="dxa"/>
            <w:shd w:val="clear" w:color="auto" w:fill="D9D9D9"/>
            <w:tcMar>
              <w:top w:w="100" w:type="dxa"/>
              <w:left w:w="100" w:type="dxa"/>
              <w:bottom w:w="100" w:type="dxa"/>
              <w:right w:w="100" w:type="dxa"/>
            </w:tcMar>
          </w:tcPr>
          <w:p w14:paraId="792A3CBE" w14:textId="4A63EA50" w:rsidR="001A533C" w:rsidRDefault="00000000">
            <w:pPr>
              <w:widowControl w:val="0"/>
            </w:pPr>
            <w:r>
              <w:t>Latency</w:t>
            </w:r>
          </w:p>
        </w:tc>
        <w:tc>
          <w:tcPr>
            <w:tcW w:w="1417" w:type="dxa"/>
            <w:shd w:val="clear" w:color="auto" w:fill="D9D9D9"/>
            <w:tcMar>
              <w:top w:w="100" w:type="dxa"/>
              <w:left w:w="100" w:type="dxa"/>
              <w:bottom w:w="100" w:type="dxa"/>
              <w:right w:w="100" w:type="dxa"/>
            </w:tcMar>
          </w:tcPr>
          <w:p w14:paraId="646932DE" w14:textId="77777777" w:rsidR="001A533C" w:rsidRDefault="00000000">
            <w:pPr>
              <w:widowControl w:val="0"/>
            </w:pPr>
            <w:r>
              <w:t>Producer</w:t>
            </w:r>
          </w:p>
        </w:tc>
        <w:tc>
          <w:tcPr>
            <w:tcW w:w="1701" w:type="dxa"/>
            <w:shd w:val="clear" w:color="auto" w:fill="D9D9D9"/>
            <w:tcMar>
              <w:top w:w="100" w:type="dxa"/>
              <w:left w:w="100" w:type="dxa"/>
              <w:bottom w:w="100" w:type="dxa"/>
              <w:right w:w="100" w:type="dxa"/>
            </w:tcMar>
          </w:tcPr>
          <w:p w14:paraId="32D1536E" w14:textId="77777777" w:rsidR="001A533C" w:rsidRDefault="00000000">
            <w:pPr>
              <w:widowControl w:val="0"/>
            </w:pPr>
            <w:r>
              <w:t>Consumer</w:t>
            </w:r>
          </w:p>
        </w:tc>
        <w:tc>
          <w:tcPr>
            <w:tcW w:w="1303" w:type="dxa"/>
            <w:shd w:val="clear" w:color="auto" w:fill="D9D9D9"/>
            <w:tcMar>
              <w:top w:w="100" w:type="dxa"/>
              <w:left w:w="100" w:type="dxa"/>
              <w:bottom w:w="100" w:type="dxa"/>
              <w:right w:w="100" w:type="dxa"/>
            </w:tcMar>
          </w:tcPr>
          <w:p w14:paraId="237A6234" w14:textId="0246CC41" w:rsidR="001A533C" w:rsidRDefault="00000000">
            <w:pPr>
              <w:widowControl w:val="0"/>
            </w:pPr>
            <w:r>
              <w:t>Protocol</w:t>
            </w:r>
          </w:p>
        </w:tc>
      </w:tr>
      <w:tr w:rsidR="001A533C" w14:paraId="2E560082" w14:textId="77777777" w:rsidTr="00C562E0">
        <w:tc>
          <w:tcPr>
            <w:tcW w:w="1186" w:type="dxa"/>
            <w:tcMar>
              <w:top w:w="100" w:type="dxa"/>
              <w:left w:w="100" w:type="dxa"/>
              <w:bottom w:w="100" w:type="dxa"/>
              <w:right w:w="100" w:type="dxa"/>
            </w:tcMar>
          </w:tcPr>
          <w:p w14:paraId="51720BA5" w14:textId="77777777" w:rsidR="001A533C" w:rsidRDefault="00000000">
            <w:pPr>
              <w:widowControl w:val="0"/>
            </w:pPr>
            <w:r>
              <w:t xml:space="preserve">AI/ML </w:t>
            </w:r>
          </w:p>
        </w:tc>
        <w:tc>
          <w:tcPr>
            <w:tcW w:w="1707" w:type="dxa"/>
            <w:tcMar>
              <w:top w:w="100" w:type="dxa"/>
              <w:left w:w="100" w:type="dxa"/>
              <w:bottom w:w="100" w:type="dxa"/>
              <w:right w:w="100" w:type="dxa"/>
            </w:tcMar>
          </w:tcPr>
          <w:p w14:paraId="1F359BA0" w14:textId="77777777" w:rsidR="001A533C" w:rsidRDefault="00000000">
            <w:pPr>
              <w:widowControl w:val="0"/>
            </w:pPr>
            <w:r>
              <w:t xml:space="preserve">Various </w:t>
            </w:r>
          </w:p>
          <w:p w14:paraId="66A00511" w14:textId="77777777" w:rsidR="001A533C" w:rsidRDefault="00000000">
            <w:pPr>
              <w:widowControl w:val="0"/>
            </w:pPr>
            <w:r>
              <w:t xml:space="preserve">(training datasets, </w:t>
            </w:r>
            <w:r>
              <w:lastRenderedPageBreak/>
              <w:t>inference results, monitoring feedback, model transfer/delivery)</w:t>
            </w:r>
          </w:p>
        </w:tc>
        <w:tc>
          <w:tcPr>
            <w:tcW w:w="1442" w:type="dxa"/>
            <w:tcMar>
              <w:top w:w="100" w:type="dxa"/>
              <w:left w:w="100" w:type="dxa"/>
              <w:bottom w:w="100" w:type="dxa"/>
              <w:right w:w="100" w:type="dxa"/>
            </w:tcMar>
          </w:tcPr>
          <w:p w14:paraId="23EF4301" w14:textId="77777777" w:rsidR="001A533C" w:rsidRDefault="00000000">
            <w:pPr>
              <w:widowControl w:val="0"/>
            </w:pPr>
            <w:r>
              <w:lastRenderedPageBreak/>
              <w:t>Diverse</w:t>
            </w:r>
          </w:p>
          <w:p w14:paraId="2CEA516F" w14:textId="77777777" w:rsidR="001A533C" w:rsidRDefault="00000000">
            <w:pPr>
              <w:widowControl w:val="0"/>
            </w:pPr>
            <w:r>
              <w:t xml:space="preserve">(few kB ~ </w:t>
            </w:r>
            <w:r>
              <w:lastRenderedPageBreak/>
              <w:t>MB/GB)</w:t>
            </w:r>
          </w:p>
        </w:tc>
        <w:tc>
          <w:tcPr>
            <w:tcW w:w="1609" w:type="dxa"/>
            <w:tcMar>
              <w:top w:w="100" w:type="dxa"/>
              <w:left w:w="100" w:type="dxa"/>
              <w:bottom w:w="100" w:type="dxa"/>
              <w:right w:w="100" w:type="dxa"/>
            </w:tcMar>
          </w:tcPr>
          <w:p w14:paraId="3442E186" w14:textId="77777777" w:rsidR="001A533C" w:rsidRDefault="00000000">
            <w:pPr>
              <w:widowControl w:val="0"/>
            </w:pPr>
            <w:r>
              <w:lastRenderedPageBreak/>
              <w:t>Diverse</w:t>
            </w:r>
          </w:p>
          <w:p w14:paraId="04D28F20" w14:textId="1F272C86" w:rsidR="001A533C" w:rsidRDefault="00000000">
            <w:pPr>
              <w:widowControl w:val="0"/>
            </w:pPr>
            <w:r>
              <w:t>(</w:t>
            </w:r>
            <w:r w:rsidR="006D035A">
              <w:t xml:space="preserve">Low latency ~ </w:t>
            </w:r>
            <w:r w:rsidR="00F11495">
              <w:lastRenderedPageBreak/>
              <w:t>R</w:t>
            </w:r>
            <w:r>
              <w:t>elaxed</w:t>
            </w:r>
            <w:r w:rsidR="006D035A">
              <w:t>)</w:t>
            </w:r>
          </w:p>
        </w:tc>
        <w:tc>
          <w:tcPr>
            <w:tcW w:w="1417" w:type="dxa"/>
            <w:tcMar>
              <w:top w:w="100" w:type="dxa"/>
              <w:left w:w="100" w:type="dxa"/>
              <w:bottom w:w="100" w:type="dxa"/>
              <w:right w:w="100" w:type="dxa"/>
            </w:tcMar>
          </w:tcPr>
          <w:p w14:paraId="1CC97001" w14:textId="77777777" w:rsidR="001A533C" w:rsidRDefault="00000000">
            <w:pPr>
              <w:widowControl w:val="0"/>
            </w:pPr>
            <w:r>
              <w:lastRenderedPageBreak/>
              <w:t>UE/RAN</w:t>
            </w:r>
          </w:p>
        </w:tc>
        <w:tc>
          <w:tcPr>
            <w:tcW w:w="1701" w:type="dxa"/>
            <w:tcMar>
              <w:top w:w="100" w:type="dxa"/>
              <w:left w:w="100" w:type="dxa"/>
              <w:bottom w:w="100" w:type="dxa"/>
              <w:right w:w="100" w:type="dxa"/>
            </w:tcMar>
          </w:tcPr>
          <w:p w14:paraId="76DAA4BC" w14:textId="02B079A8" w:rsidR="001A533C" w:rsidRDefault="00DA0AD3">
            <w:pPr>
              <w:widowControl w:val="0"/>
            </w:pPr>
            <w:r w:rsidRPr="00DA0AD3">
              <w:t xml:space="preserve">UE, RAN, CN, UE-side server, </w:t>
            </w:r>
            <w:r w:rsidRPr="00DA0AD3">
              <w:lastRenderedPageBreak/>
              <w:t>OAM</w:t>
            </w:r>
          </w:p>
        </w:tc>
        <w:tc>
          <w:tcPr>
            <w:tcW w:w="1303" w:type="dxa"/>
            <w:tcMar>
              <w:top w:w="100" w:type="dxa"/>
              <w:left w:w="100" w:type="dxa"/>
              <w:bottom w:w="100" w:type="dxa"/>
              <w:right w:w="100" w:type="dxa"/>
            </w:tcMar>
          </w:tcPr>
          <w:p w14:paraId="3CEEC05A" w14:textId="77777777" w:rsidR="001A533C" w:rsidRDefault="00000000">
            <w:pPr>
              <w:widowControl w:val="0"/>
            </w:pPr>
            <w:r>
              <w:lastRenderedPageBreak/>
              <w:t>Non-IP and IP</w:t>
            </w:r>
          </w:p>
        </w:tc>
      </w:tr>
      <w:tr w:rsidR="001A533C" w14:paraId="0B0543B2" w14:textId="77777777" w:rsidTr="00C562E0">
        <w:tc>
          <w:tcPr>
            <w:tcW w:w="1186" w:type="dxa"/>
            <w:tcMar>
              <w:top w:w="100" w:type="dxa"/>
              <w:left w:w="100" w:type="dxa"/>
              <w:bottom w:w="100" w:type="dxa"/>
              <w:right w:w="100" w:type="dxa"/>
            </w:tcMar>
          </w:tcPr>
          <w:p w14:paraId="345E3D77" w14:textId="77777777" w:rsidR="001A533C" w:rsidRDefault="00000000">
            <w:pPr>
              <w:widowControl w:val="0"/>
            </w:pPr>
            <w:r>
              <w:t>Sensing (ISAC)</w:t>
            </w:r>
          </w:p>
        </w:tc>
        <w:tc>
          <w:tcPr>
            <w:tcW w:w="1707" w:type="dxa"/>
            <w:tcMar>
              <w:top w:w="100" w:type="dxa"/>
              <w:left w:w="100" w:type="dxa"/>
              <w:bottom w:w="100" w:type="dxa"/>
              <w:right w:w="100" w:type="dxa"/>
            </w:tcMar>
          </w:tcPr>
          <w:p w14:paraId="1E68C796" w14:textId="77777777" w:rsidR="001A533C" w:rsidRDefault="00000000">
            <w:pPr>
              <w:widowControl w:val="0"/>
            </w:pPr>
            <w:r>
              <w:t xml:space="preserve">Various </w:t>
            </w:r>
            <w:r>
              <w:br/>
              <w:t>(3GPP and non-3GPP)</w:t>
            </w:r>
          </w:p>
        </w:tc>
        <w:tc>
          <w:tcPr>
            <w:tcW w:w="1442" w:type="dxa"/>
            <w:tcMar>
              <w:top w:w="100" w:type="dxa"/>
              <w:left w:w="100" w:type="dxa"/>
              <w:bottom w:w="100" w:type="dxa"/>
              <w:right w:w="100" w:type="dxa"/>
            </w:tcMar>
          </w:tcPr>
          <w:p w14:paraId="34BD98AA" w14:textId="77777777" w:rsidR="001A533C" w:rsidRDefault="00000000">
            <w:pPr>
              <w:widowControl w:val="0"/>
            </w:pPr>
            <w:r>
              <w:t>Diverse</w:t>
            </w:r>
          </w:p>
          <w:p w14:paraId="68967D0F" w14:textId="77777777" w:rsidR="001A533C" w:rsidRDefault="00000000">
            <w:pPr>
              <w:widowControl w:val="0"/>
            </w:pPr>
            <w:r>
              <w:t>(few kB ~ MB/GB)</w:t>
            </w:r>
          </w:p>
        </w:tc>
        <w:tc>
          <w:tcPr>
            <w:tcW w:w="1609" w:type="dxa"/>
            <w:tcMar>
              <w:top w:w="100" w:type="dxa"/>
              <w:left w:w="100" w:type="dxa"/>
              <w:bottom w:w="100" w:type="dxa"/>
              <w:right w:w="100" w:type="dxa"/>
            </w:tcMar>
          </w:tcPr>
          <w:p w14:paraId="24D80359" w14:textId="77777777" w:rsidR="001D120E" w:rsidRDefault="00286BE3">
            <w:pPr>
              <w:widowControl w:val="0"/>
            </w:pPr>
            <w:r w:rsidRPr="00286BE3">
              <w:t xml:space="preserve">Diverse </w:t>
            </w:r>
          </w:p>
          <w:p w14:paraId="70489757" w14:textId="3CE3D038" w:rsidR="001A533C" w:rsidRDefault="00286BE3">
            <w:pPr>
              <w:widowControl w:val="0"/>
            </w:pPr>
            <w:r w:rsidRPr="00286BE3">
              <w:t>(Real-time ~ Relaxed)</w:t>
            </w:r>
          </w:p>
        </w:tc>
        <w:tc>
          <w:tcPr>
            <w:tcW w:w="1417" w:type="dxa"/>
            <w:tcMar>
              <w:top w:w="100" w:type="dxa"/>
              <w:left w:w="100" w:type="dxa"/>
              <w:bottom w:w="100" w:type="dxa"/>
              <w:right w:w="100" w:type="dxa"/>
            </w:tcMar>
          </w:tcPr>
          <w:p w14:paraId="2BE2DE37" w14:textId="77777777" w:rsidR="001A533C" w:rsidRDefault="00000000">
            <w:pPr>
              <w:widowControl w:val="0"/>
            </w:pPr>
            <w:r>
              <w:t>UE/RAN</w:t>
            </w:r>
          </w:p>
        </w:tc>
        <w:tc>
          <w:tcPr>
            <w:tcW w:w="1701" w:type="dxa"/>
            <w:tcMar>
              <w:top w:w="100" w:type="dxa"/>
              <w:left w:w="100" w:type="dxa"/>
              <w:bottom w:w="100" w:type="dxa"/>
              <w:right w:w="100" w:type="dxa"/>
            </w:tcMar>
          </w:tcPr>
          <w:p w14:paraId="3973B654" w14:textId="77777777" w:rsidR="001A533C" w:rsidRDefault="00000000">
            <w:pPr>
              <w:widowControl w:val="0"/>
            </w:pPr>
            <w:r>
              <w:t>UE, RAN, CN, external servers (e.g., 3rd party application server)</w:t>
            </w:r>
          </w:p>
        </w:tc>
        <w:tc>
          <w:tcPr>
            <w:tcW w:w="1303" w:type="dxa"/>
            <w:tcMar>
              <w:top w:w="100" w:type="dxa"/>
              <w:left w:w="100" w:type="dxa"/>
              <w:bottom w:w="100" w:type="dxa"/>
              <w:right w:w="100" w:type="dxa"/>
            </w:tcMar>
          </w:tcPr>
          <w:p w14:paraId="27267FE5" w14:textId="77777777" w:rsidR="001A533C" w:rsidRDefault="00000000">
            <w:pPr>
              <w:widowControl w:val="0"/>
            </w:pPr>
            <w:r>
              <w:t>Non-IP and IP</w:t>
            </w:r>
          </w:p>
        </w:tc>
      </w:tr>
      <w:tr w:rsidR="001A533C" w14:paraId="4CEBC2DB" w14:textId="77777777" w:rsidTr="00C562E0">
        <w:tc>
          <w:tcPr>
            <w:tcW w:w="1186" w:type="dxa"/>
            <w:tcMar>
              <w:top w:w="100" w:type="dxa"/>
              <w:left w:w="100" w:type="dxa"/>
              <w:bottom w:w="100" w:type="dxa"/>
              <w:right w:w="100" w:type="dxa"/>
            </w:tcMar>
          </w:tcPr>
          <w:p w14:paraId="6402AC6C" w14:textId="77777777" w:rsidR="001A533C" w:rsidRDefault="00000000">
            <w:pPr>
              <w:widowControl w:val="0"/>
            </w:pPr>
            <w:r>
              <w:t>SON/MDT</w:t>
            </w:r>
          </w:p>
        </w:tc>
        <w:tc>
          <w:tcPr>
            <w:tcW w:w="1707" w:type="dxa"/>
            <w:tcMar>
              <w:top w:w="100" w:type="dxa"/>
              <w:left w:w="100" w:type="dxa"/>
              <w:bottom w:w="100" w:type="dxa"/>
              <w:right w:w="100" w:type="dxa"/>
            </w:tcMar>
          </w:tcPr>
          <w:p w14:paraId="559DA43E" w14:textId="77777777" w:rsidR="001A533C" w:rsidRDefault="00000000">
            <w:pPr>
              <w:widowControl w:val="0"/>
            </w:pPr>
            <w:r>
              <w:t>Network performance metrics</w:t>
            </w:r>
          </w:p>
        </w:tc>
        <w:tc>
          <w:tcPr>
            <w:tcW w:w="1442" w:type="dxa"/>
            <w:tcMar>
              <w:top w:w="100" w:type="dxa"/>
              <w:left w:w="100" w:type="dxa"/>
              <w:bottom w:w="100" w:type="dxa"/>
              <w:right w:w="100" w:type="dxa"/>
            </w:tcMar>
          </w:tcPr>
          <w:p w14:paraId="1BB2C5C7" w14:textId="77777777" w:rsidR="001A533C" w:rsidRDefault="00000000">
            <w:pPr>
              <w:widowControl w:val="0"/>
            </w:pPr>
            <w:r>
              <w:t>Small</w:t>
            </w:r>
          </w:p>
        </w:tc>
        <w:tc>
          <w:tcPr>
            <w:tcW w:w="1609" w:type="dxa"/>
            <w:tcMar>
              <w:top w:w="100" w:type="dxa"/>
              <w:left w:w="100" w:type="dxa"/>
              <w:bottom w:w="100" w:type="dxa"/>
              <w:right w:w="100" w:type="dxa"/>
            </w:tcMar>
          </w:tcPr>
          <w:p w14:paraId="345A224F" w14:textId="47695093" w:rsidR="001A533C" w:rsidRDefault="00F11495">
            <w:pPr>
              <w:widowControl w:val="0"/>
            </w:pPr>
            <w:r w:rsidRPr="00F11495">
              <w:t xml:space="preserve">Diverse (Medium </w:t>
            </w:r>
            <w:r>
              <w:t xml:space="preserve">latency </w:t>
            </w:r>
            <w:r w:rsidR="00836597">
              <w:rPr>
                <w:rFonts w:hint="eastAsia"/>
              </w:rPr>
              <w:t>~</w:t>
            </w:r>
            <w:r w:rsidRPr="00F11495">
              <w:t xml:space="preserve"> Relaxed)</w:t>
            </w:r>
          </w:p>
        </w:tc>
        <w:tc>
          <w:tcPr>
            <w:tcW w:w="1417" w:type="dxa"/>
            <w:tcMar>
              <w:top w:w="100" w:type="dxa"/>
              <w:left w:w="100" w:type="dxa"/>
              <w:bottom w:w="100" w:type="dxa"/>
              <w:right w:w="100" w:type="dxa"/>
            </w:tcMar>
          </w:tcPr>
          <w:p w14:paraId="00E30154" w14:textId="77777777" w:rsidR="001A533C" w:rsidRDefault="00000000">
            <w:r>
              <w:t>UE</w:t>
            </w:r>
          </w:p>
        </w:tc>
        <w:tc>
          <w:tcPr>
            <w:tcW w:w="1701" w:type="dxa"/>
            <w:tcMar>
              <w:top w:w="100" w:type="dxa"/>
              <w:left w:w="100" w:type="dxa"/>
              <w:bottom w:w="100" w:type="dxa"/>
              <w:right w:w="100" w:type="dxa"/>
            </w:tcMar>
          </w:tcPr>
          <w:p w14:paraId="1FB691B7" w14:textId="77777777" w:rsidR="001A533C" w:rsidRDefault="00000000">
            <w:pPr>
              <w:widowControl w:val="0"/>
            </w:pPr>
            <w:r>
              <w:t>RAN, OAM</w:t>
            </w:r>
          </w:p>
        </w:tc>
        <w:tc>
          <w:tcPr>
            <w:tcW w:w="1303" w:type="dxa"/>
            <w:tcMar>
              <w:top w:w="100" w:type="dxa"/>
              <w:left w:w="100" w:type="dxa"/>
              <w:bottom w:w="100" w:type="dxa"/>
              <w:right w:w="100" w:type="dxa"/>
            </w:tcMar>
          </w:tcPr>
          <w:p w14:paraId="3A00D4AD" w14:textId="77777777" w:rsidR="001A533C" w:rsidRDefault="00000000">
            <w:pPr>
              <w:widowControl w:val="0"/>
            </w:pPr>
            <w:r>
              <w:t>Non-IP (RRC)</w:t>
            </w:r>
          </w:p>
        </w:tc>
      </w:tr>
      <w:tr w:rsidR="001A533C" w14:paraId="56BF1F33" w14:textId="77777777" w:rsidTr="00C562E0">
        <w:tc>
          <w:tcPr>
            <w:tcW w:w="1186" w:type="dxa"/>
            <w:tcMar>
              <w:top w:w="100" w:type="dxa"/>
              <w:left w:w="100" w:type="dxa"/>
              <w:bottom w:w="100" w:type="dxa"/>
              <w:right w:w="100" w:type="dxa"/>
            </w:tcMar>
          </w:tcPr>
          <w:p w14:paraId="0B9F312A" w14:textId="41D6271F" w:rsidR="001A533C" w:rsidRDefault="00000000">
            <w:pPr>
              <w:widowControl w:val="0"/>
            </w:pPr>
            <w:proofErr w:type="spellStart"/>
            <w:r>
              <w:t>Qo</w:t>
            </w:r>
            <w:r w:rsidR="00DA0AD3">
              <w:t>E</w:t>
            </w:r>
            <w:proofErr w:type="spellEnd"/>
          </w:p>
        </w:tc>
        <w:tc>
          <w:tcPr>
            <w:tcW w:w="1707" w:type="dxa"/>
            <w:tcMar>
              <w:top w:w="100" w:type="dxa"/>
              <w:left w:w="100" w:type="dxa"/>
              <w:bottom w:w="100" w:type="dxa"/>
              <w:right w:w="100" w:type="dxa"/>
            </w:tcMar>
          </w:tcPr>
          <w:p w14:paraId="752DD76B" w14:textId="77777777" w:rsidR="001A533C" w:rsidRDefault="00000000">
            <w:pPr>
              <w:widowControl w:val="0"/>
            </w:pPr>
            <w:r>
              <w:t>User experience metrics</w:t>
            </w:r>
          </w:p>
        </w:tc>
        <w:tc>
          <w:tcPr>
            <w:tcW w:w="1442" w:type="dxa"/>
            <w:tcMar>
              <w:top w:w="100" w:type="dxa"/>
              <w:left w:w="100" w:type="dxa"/>
              <w:bottom w:w="100" w:type="dxa"/>
              <w:right w:w="100" w:type="dxa"/>
            </w:tcMar>
          </w:tcPr>
          <w:p w14:paraId="7AAE28CA" w14:textId="77777777" w:rsidR="001A533C" w:rsidRDefault="00000000">
            <w:pPr>
              <w:widowControl w:val="0"/>
            </w:pPr>
            <w:r>
              <w:t>Small</w:t>
            </w:r>
          </w:p>
        </w:tc>
        <w:tc>
          <w:tcPr>
            <w:tcW w:w="1609" w:type="dxa"/>
            <w:tcMar>
              <w:top w:w="100" w:type="dxa"/>
              <w:left w:w="100" w:type="dxa"/>
              <w:bottom w:w="100" w:type="dxa"/>
              <w:right w:w="100" w:type="dxa"/>
            </w:tcMar>
          </w:tcPr>
          <w:p w14:paraId="25B1F5FB" w14:textId="3F5E1417" w:rsidR="001A533C" w:rsidRDefault="00DA0AD3">
            <w:pPr>
              <w:widowControl w:val="0"/>
            </w:pPr>
            <w:r>
              <w:t>Diverse (Medium latency ~ Relaxed)</w:t>
            </w:r>
          </w:p>
        </w:tc>
        <w:tc>
          <w:tcPr>
            <w:tcW w:w="1417" w:type="dxa"/>
            <w:tcMar>
              <w:top w:w="100" w:type="dxa"/>
              <w:left w:w="100" w:type="dxa"/>
              <w:bottom w:w="100" w:type="dxa"/>
              <w:right w:w="100" w:type="dxa"/>
            </w:tcMar>
          </w:tcPr>
          <w:p w14:paraId="3736649E" w14:textId="77777777" w:rsidR="001A533C" w:rsidRDefault="00000000">
            <w:r>
              <w:t>UE</w:t>
            </w:r>
          </w:p>
        </w:tc>
        <w:tc>
          <w:tcPr>
            <w:tcW w:w="1701" w:type="dxa"/>
            <w:tcMar>
              <w:top w:w="100" w:type="dxa"/>
              <w:left w:w="100" w:type="dxa"/>
              <w:bottom w:w="100" w:type="dxa"/>
              <w:right w:w="100" w:type="dxa"/>
            </w:tcMar>
          </w:tcPr>
          <w:p w14:paraId="3CBED159" w14:textId="2276A4C0" w:rsidR="001A533C" w:rsidRDefault="00000000">
            <w:pPr>
              <w:widowControl w:val="0"/>
            </w:pPr>
            <w:r>
              <w:t>CN (</w:t>
            </w:r>
            <w:proofErr w:type="spellStart"/>
            <w:r>
              <w:t>QoE</w:t>
            </w:r>
            <w:proofErr w:type="spellEnd"/>
            <w:r>
              <w:t xml:space="preserve"> Server), </w:t>
            </w:r>
            <w:r w:rsidR="00DA0AD3">
              <w:t>RAN</w:t>
            </w:r>
          </w:p>
        </w:tc>
        <w:tc>
          <w:tcPr>
            <w:tcW w:w="1303" w:type="dxa"/>
            <w:tcMar>
              <w:top w:w="100" w:type="dxa"/>
              <w:left w:w="100" w:type="dxa"/>
              <w:bottom w:w="100" w:type="dxa"/>
              <w:right w:w="100" w:type="dxa"/>
            </w:tcMar>
          </w:tcPr>
          <w:p w14:paraId="7F7215E6" w14:textId="77777777" w:rsidR="001A533C" w:rsidRDefault="00000000">
            <w:pPr>
              <w:widowControl w:val="0"/>
            </w:pPr>
            <w:r>
              <w:t>Non-IP (RRC)</w:t>
            </w:r>
          </w:p>
        </w:tc>
      </w:tr>
    </w:tbl>
    <w:p w14:paraId="782D11F4" w14:textId="77777777" w:rsidR="001A533C" w:rsidRDefault="001A533C"/>
    <w:p w14:paraId="7416B54C" w14:textId="17D5C108" w:rsidR="001A533C" w:rsidRDefault="00000000">
      <w:r>
        <w:t xml:space="preserve">RAN2 </w:t>
      </w:r>
      <w:r w:rsidR="001D120E">
        <w:rPr>
          <w:lang w:val="en-US"/>
        </w:rPr>
        <w:t>can</w:t>
      </w:r>
      <w:r w:rsidR="001D120E">
        <w:t xml:space="preserve"> </w:t>
      </w:r>
      <w:r>
        <w:t xml:space="preserve">use the above comparison table of AI/ML, sensing (ISAC), SON/MDT, and </w:t>
      </w:r>
      <w:proofErr w:type="spellStart"/>
      <w:r>
        <w:t>QoE</w:t>
      </w:r>
      <w:proofErr w:type="spellEnd"/>
      <w:r>
        <w:t xml:space="preserve"> data characteristics as a baseline reference for further study on the 6G data transfer framework. The Table</w:t>
      </w:r>
      <w:r w:rsidR="005D01C2">
        <w:t xml:space="preserve"> </w:t>
      </w:r>
      <w:r>
        <w:t xml:space="preserve">1 can serve as an initial mapping guideline for understanding commonalities and differences in data types, sizes, </w:t>
      </w:r>
      <w:r w:rsidR="00DA0AD3">
        <w:t>latency</w:t>
      </w:r>
      <w:r>
        <w:t xml:space="preserve"> requirements, producer/consumer roles, and protocol usage.</w:t>
      </w:r>
    </w:p>
    <w:p w14:paraId="263627F6" w14:textId="77777777" w:rsidR="001A533C" w:rsidRDefault="001A533C"/>
    <w:p w14:paraId="06A7CBE2" w14:textId="6AA94BBB" w:rsidR="001A533C" w:rsidRDefault="00000000">
      <w:r>
        <w:t xml:space="preserve">RAN2 </w:t>
      </w:r>
      <w:r w:rsidR="001D120E">
        <w:t xml:space="preserve">also </w:t>
      </w:r>
      <w:r>
        <w:t>acknowledges that additional requirements or use cases may arise from SA1, SA2, and other working groups, including new categories of non-user data or enhanced service requirements. Therefore, the table and corresponding analysis may be updated and refined iteratively as part of the ongoing RAN2 study to ensure alignment with cross-WG and TSG-level progress.</w:t>
      </w:r>
    </w:p>
    <w:p w14:paraId="6E454376" w14:textId="77777777" w:rsidR="001A533C" w:rsidRDefault="001A533C"/>
    <w:p w14:paraId="723A0611" w14:textId="7E5AFDC2" w:rsidR="001A533C" w:rsidRDefault="00000000">
      <w:pPr>
        <w:pBdr>
          <w:top w:val="nil"/>
          <w:left w:val="nil"/>
          <w:bottom w:val="nil"/>
          <w:right w:val="nil"/>
          <w:between w:val="nil"/>
        </w:pBdr>
        <w:tabs>
          <w:tab w:val="left" w:pos="0"/>
        </w:tabs>
        <w:ind w:left="1701" w:hanging="1701"/>
        <w:rPr>
          <w:b/>
          <w:color w:val="000000"/>
        </w:rPr>
      </w:pPr>
      <w:r>
        <w:rPr>
          <w:rFonts w:eastAsia="Times New Roman"/>
          <w:b/>
          <w:color w:val="000000"/>
        </w:rPr>
        <w:t xml:space="preserve">Proposal </w:t>
      </w:r>
      <w:r>
        <w:rPr>
          <w:b/>
        </w:rPr>
        <w:t>2</w:t>
      </w:r>
      <w:r>
        <w:rPr>
          <w:rFonts w:eastAsia="Times New Roman"/>
          <w:b/>
          <w:color w:val="000000"/>
        </w:rPr>
        <w:t>.</w:t>
      </w:r>
      <w:r>
        <w:rPr>
          <w:rFonts w:eastAsia="Times New Roman"/>
          <w:b/>
          <w:color w:val="000000"/>
        </w:rPr>
        <w:tab/>
        <w:t>RAN2 to use Table</w:t>
      </w:r>
      <w:r w:rsidR="005D01C2">
        <w:rPr>
          <w:rFonts w:eastAsia="Times New Roman"/>
          <w:b/>
          <w:color w:val="000000"/>
        </w:rPr>
        <w:t xml:space="preserve"> </w:t>
      </w:r>
      <w:r>
        <w:rPr>
          <w:rFonts w:eastAsia="Times New Roman"/>
          <w:b/>
          <w:color w:val="000000"/>
        </w:rPr>
        <w:t xml:space="preserve">1 as a baseline for </w:t>
      </w:r>
      <w:r>
        <w:rPr>
          <w:b/>
        </w:rPr>
        <w:t>designing</w:t>
      </w:r>
      <w:r>
        <w:rPr>
          <w:rFonts w:eastAsia="Times New Roman"/>
          <w:b/>
          <w:color w:val="000000"/>
        </w:rPr>
        <w:t xml:space="preserve"> </w:t>
      </w:r>
      <w:r>
        <w:rPr>
          <w:b/>
        </w:rPr>
        <w:t xml:space="preserve">the </w:t>
      </w:r>
      <w:r>
        <w:rPr>
          <w:rFonts w:eastAsia="Times New Roman"/>
          <w:b/>
          <w:color w:val="000000"/>
        </w:rPr>
        <w:t>6G data transfer framework</w:t>
      </w:r>
      <w:r>
        <w:rPr>
          <w:b/>
        </w:rPr>
        <w:t>, which may be updated as studies in RAN2 and other WGs/TSGs progress.</w:t>
      </w:r>
    </w:p>
    <w:p w14:paraId="3707B249" w14:textId="77777777" w:rsidR="001A533C" w:rsidRDefault="001A533C">
      <w:pPr>
        <w:tabs>
          <w:tab w:val="left" w:pos="1843"/>
        </w:tabs>
      </w:pPr>
    </w:p>
    <w:p w14:paraId="3D4F7AF4" w14:textId="5E468918" w:rsidR="001A533C" w:rsidRDefault="00000000">
      <w:pPr>
        <w:tabs>
          <w:tab w:val="left" w:pos="1843"/>
        </w:tabs>
      </w:pPr>
      <w:r>
        <w:t xml:space="preserve">The analysis of AI/ML, sensing (ISAC), SON/MDT, and </w:t>
      </w:r>
      <w:proofErr w:type="spellStart"/>
      <w:r>
        <w:t>QoE</w:t>
      </w:r>
      <w:proofErr w:type="spellEnd"/>
      <w:r>
        <w:t xml:space="preserve"> data reveals significant diversity in data types, sizes, </w:t>
      </w:r>
      <w:r w:rsidR="00DA0AD3">
        <w:t>latency</w:t>
      </w:r>
      <w:r>
        <w:t xml:space="preserve"> requirements, producer–consumer relationships, and protocol usage, reflecting the heterogeneous nature of non-user data in 6G. While some categories (e.g., sensing) require low latency and high reliability for real-time operation, others (e.g., AI/ML) involve large-volume or periodic data transfers with more relaxed timing constraints. Furthermore, data may originate and terminate at various entities — including UE, RAN, CN, inside/outside MNO, OAM, or </w:t>
      </w:r>
      <w:r w:rsidR="001464E2">
        <w:t xml:space="preserve">external </w:t>
      </w:r>
      <w:r>
        <w:t xml:space="preserve">servers — requiring support for multi-termination and cross-plane data handling beyond traditional user-plane architectures. </w:t>
      </w:r>
    </w:p>
    <w:p w14:paraId="2D2CB3B7" w14:textId="77777777" w:rsidR="001A533C" w:rsidRDefault="001A533C">
      <w:pPr>
        <w:tabs>
          <w:tab w:val="left" w:pos="1843"/>
        </w:tabs>
      </w:pPr>
    </w:p>
    <w:p w14:paraId="26F73B7D" w14:textId="2A0CC4F4" w:rsidR="001A533C" w:rsidRDefault="00000000">
      <w:pPr>
        <w:tabs>
          <w:tab w:val="left" w:pos="1843"/>
        </w:tabs>
      </w:pPr>
      <w:r>
        <w:t>These differences confirm the need for a flexible data transfer framework that can accommodate heterogeneous data flows without duplicating signaling across layers or introducing type-specific procedures.</w:t>
      </w:r>
      <w:r w:rsidR="001464E2">
        <w:t xml:space="preserve"> </w:t>
      </w:r>
      <w:r>
        <w:t>Therefore, the 6G data transfer framework must be designed to accommodate this heterogeneity through flexible configuration, termination-aware routing, and QoS-adaptive transport mechanisms.</w:t>
      </w:r>
    </w:p>
    <w:p w14:paraId="75B1F33D" w14:textId="77777777" w:rsidR="001A533C" w:rsidRDefault="001A533C">
      <w:pPr>
        <w:tabs>
          <w:tab w:val="left" w:pos="1843"/>
        </w:tabs>
      </w:pPr>
    </w:p>
    <w:p w14:paraId="46CD5A47" w14:textId="46EC889A" w:rsidR="001A533C" w:rsidRDefault="00000000">
      <w:pPr>
        <w:pBdr>
          <w:top w:val="nil"/>
          <w:left w:val="nil"/>
          <w:bottom w:val="nil"/>
          <w:right w:val="nil"/>
          <w:between w:val="nil"/>
        </w:pBdr>
        <w:tabs>
          <w:tab w:val="left" w:pos="0"/>
        </w:tabs>
        <w:ind w:left="1701" w:hanging="1701"/>
        <w:rPr>
          <w:b/>
          <w:color w:val="000000"/>
        </w:rPr>
      </w:pPr>
      <w:r>
        <w:rPr>
          <w:rFonts w:eastAsia="Times New Roman"/>
          <w:b/>
          <w:color w:val="000000"/>
        </w:rPr>
        <w:t xml:space="preserve">Proposal </w:t>
      </w:r>
      <w:r>
        <w:rPr>
          <w:b/>
        </w:rPr>
        <w:t>3</w:t>
      </w:r>
      <w:r>
        <w:rPr>
          <w:rFonts w:eastAsia="Times New Roman"/>
          <w:b/>
          <w:color w:val="000000"/>
        </w:rPr>
        <w:t>.</w:t>
      </w:r>
      <w:r>
        <w:rPr>
          <w:rFonts w:eastAsia="Times New Roman"/>
          <w:b/>
          <w:color w:val="000000"/>
        </w:rPr>
        <w:tab/>
        <w:t xml:space="preserve">RAN2 to focus on designing a flexible 6G data transfer framework that can accommodate heterogeneous non-user data types (e.g., AI/ML, sensing, SON/MDT, and </w:t>
      </w:r>
      <w:proofErr w:type="spellStart"/>
      <w:r>
        <w:rPr>
          <w:rFonts w:eastAsia="Times New Roman"/>
          <w:b/>
          <w:color w:val="000000"/>
        </w:rPr>
        <w:t>QoE</w:t>
      </w:r>
      <w:proofErr w:type="spellEnd"/>
      <w:r>
        <w:rPr>
          <w:rFonts w:eastAsia="Times New Roman"/>
          <w:b/>
          <w:color w:val="000000"/>
        </w:rPr>
        <w:t xml:space="preserve">) through the following principles: </w:t>
      </w:r>
    </w:p>
    <w:p w14:paraId="4F0D3E05" w14:textId="77777777" w:rsidR="001A533C" w:rsidRDefault="00000000">
      <w:pPr>
        <w:numPr>
          <w:ilvl w:val="2"/>
          <w:numId w:val="5"/>
        </w:numPr>
        <w:pBdr>
          <w:top w:val="nil"/>
          <w:left w:val="nil"/>
          <w:bottom w:val="nil"/>
          <w:right w:val="nil"/>
          <w:between w:val="nil"/>
        </w:pBdr>
        <w:tabs>
          <w:tab w:val="left" w:pos="0"/>
        </w:tabs>
      </w:pPr>
      <w:r>
        <w:rPr>
          <w:rFonts w:eastAsia="Times New Roman"/>
          <w:b/>
          <w:color w:val="000000"/>
        </w:rPr>
        <w:t xml:space="preserve">Flexible destination transport mechanism: </w:t>
      </w:r>
      <w:r>
        <w:rPr>
          <w:color w:val="000000"/>
        </w:rPr>
        <w:t>Allow the sender (e.g., UE or RAN node) to transfer non-user data to the appropriate recipient(s) — such as RAN, CN, MNO, UE-side server, OAM, or third-party servers — according to data type and purpose.</w:t>
      </w:r>
    </w:p>
    <w:p w14:paraId="4A1112B1" w14:textId="7B414C1E" w:rsidR="001A533C" w:rsidRDefault="00000000">
      <w:pPr>
        <w:numPr>
          <w:ilvl w:val="2"/>
          <w:numId w:val="5"/>
        </w:numPr>
        <w:pBdr>
          <w:top w:val="nil"/>
          <w:left w:val="nil"/>
          <w:bottom w:val="nil"/>
          <w:right w:val="nil"/>
          <w:between w:val="nil"/>
        </w:pBdr>
        <w:tabs>
          <w:tab w:val="left" w:pos="0"/>
        </w:tabs>
      </w:pPr>
      <w:r>
        <w:rPr>
          <w:rFonts w:eastAsia="Times New Roman"/>
          <w:b/>
          <w:color w:val="000000"/>
        </w:rPr>
        <w:t xml:space="preserve">Flexible transport selection mechanism: </w:t>
      </w:r>
      <w:r>
        <w:rPr>
          <w:color w:val="000000"/>
        </w:rPr>
        <w:t xml:space="preserve">Enable adaptive use and enhancement of existing CP/UP structures as well as potential new options (e.g., </w:t>
      </w:r>
      <w:r w:rsidR="005D01C2">
        <w:rPr>
          <w:color w:val="000000"/>
        </w:rPr>
        <w:t xml:space="preserve">Data </w:t>
      </w:r>
      <w:r>
        <w:rPr>
          <w:color w:val="000000"/>
        </w:rPr>
        <w:t>Plane (DP)) to optimize efficiency, reliability, and latency.</w:t>
      </w:r>
    </w:p>
    <w:p w14:paraId="0C06F814" w14:textId="77777777" w:rsidR="001A533C" w:rsidRDefault="00000000">
      <w:pPr>
        <w:numPr>
          <w:ilvl w:val="2"/>
          <w:numId w:val="5"/>
        </w:numPr>
        <w:pBdr>
          <w:top w:val="nil"/>
          <w:left w:val="nil"/>
          <w:bottom w:val="nil"/>
          <w:right w:val="nil"/>
          <w:between w:val="nil"/>
        </w:pBdr>
        <w:tabs>
          <w:tab w:val="left" w:pos="0"/>
        </w:tabs>
      </w:pPr>
      <w:r>
        <w:rPr>
          <w:rFonts w:eastAsia="Times New Roman"/>
          <w:b/>
          <w:color w:val="000000"/>
        </w:rPr>
        <w:t xml:space="preserve">Flexible radio bearer mapping: </w:t>
      </w:r>
      <w:r>
        <w:rPr>
          <w:color w:val="000000"/>
        </w:rPr>
        <w:t>Support extension or enhancement of SRB/DRB and, where necessary, define new dedicated radio bearers for BS-terminated or non-user data flows not adequately served by current UP paths.</w:t>
      </w:r>
    </w:p>
    <w:p w14:paraId="6623E6CD" w14:textId="77777777" w:rsidR="001A533C" w:rsidRDefault="001A533C"/>
    <w:p w14:paraId="0A5A3406" w14:textId="77777777" w:rsidR="001A533C" w:rsidRDefault="00000000">
      <w:pPr>
        <w:pStyle w:val="Heading3"/>
      </w:pPr>
      <w:bookmarkStart w:id="10" w:name="_vrb6wrl59q04" w:colFirst="0" w:colLast="0"/>
      <w:bookmarkEnd w:id="10"/>
      <w:r>
        <w:t>2.1.3</w:t>
      </w:r>
      <w:r>
        <w:tab/>
        <w:t>Common requirements (applies to all data types)</w:t>
      </w:r>
    </w:p>
    <w:p w14:paraId="418A83BA" w14:textId="77777777" w:rsidR="001A533C" w:rsidRDefault="00000000">
      <w:pPr>
        <w:pStyle w:val="Heading4"/>
        <w:ind w:left="0" w:firstLine="0"/>
      </w:pPr>
      <w:bookmarkStart w:id="11" w:name="_zh7fyv4mcryd" w:colFirst="0" w:colLast="0"/>
      <w:bookmarkEnd w:id="11"/>
      <w:r>
        <w:t>UE impact minimization</w:t>
      </w:r>
    </w:p>
    <w:p w14:paraId="79EC3D39" w14:textId="77777777" w:rsidR="001A533C" w:rsidRDefault="00000000">
      <w:pPr>
        <w:rPr>
          <w:i/>
        </w:rPr>
      </w:pPr>
      <w:r>
        <w:rPr>
          <w:b/>
          <w:i/>
        </w:rPr>
        <w:t>Design principle</w:t>
      </w:r>
      <w:r>
        <w:rPr>
          <w:i/>
        </w:rPr>
        <w:t xml:space="preserve">: The 6G data transfer framework shall be designed to minimize the impact on UE resources, including power consumption, memory usage, processing load, and user traffic performance. </w:t>
      </w:r>
    </w:p>
    <w:p w14:paraId="76F5BEEC" w14:textId="77777777" w:rsidR="001A533C" w:rsidRDefault="001A533C"/>
    <w:p w14:paraId="4CAA504E" w14:textId="77777777" w:rsidR="001A533C" w:rsidRDefault="00000000">
      <w:r>
        <w:lastRenderedPageBreak/>
        <w:t>In 4G and 5G systems, UE impact minimization was primarily achieved through static configuration and DRX optimization.</w:t>
      </w:r>
    </w:p>
    <w:p w14:paraId="3CD7A1D1" w14:textId="40B2663D" w:rsidR="001A533C" w:rsidRDefault="00000000">
      <w:r>
        <w:t xml:space="preserve">However, these mechanisms were limited to individual radio features and did not consider cross-service data flows such as AI/ML, sensing (ISAC), SON/MDT, and </w:t>
      </w:r>
      <w:proofErr w:type="spellStart"/>
      <w:r>
        <w:t>QoE</w:t>
      </w:r>
      <w:proofErr w:type="spellEnd"/>
      <w:r>
        <w:t xml:space="preserve">. As a result, UE often experienced redundant measurement, duplicate reporting, and unnecessary state transitions, which increased signaling load and </w:t>
      </w:r>
      <w:r w:rsidR="00864D61">
        <w:t xml:space="preserve">UE resources </w:t>
      </w:r>
      <w:r>
        <w:t>consumption.</w:t>
      </w:r>
    </w:p>
    <w:p w14:paraId="3767B4D4" w14:textId="77777777" w:rsidR="001A533C" w:rsidRDefault="001A533C"/>
    <w:p w14:paraId="2091040E" w14:textId="77777777" w:rsidR="001A533C" w:rsidRDefault="00000000">
      <w:pPr>
        <w:pBdr>
          <w:top w:val="nil"/>
          <w:left w:val="nil"/>
          <w:bottom w:val="nil"/>
          <w:right w:val="nil"/>
          <w:between w:val="nil"/>
        </w:pBdr>
        <w:tabs>
          <w:tab w:val="left" w:pos="0"/>
        </w:tabs>
        <w:ind w:left="1701" w:hanging="1701"/>
        <w:rPr>
          <w:b/>
          <w:color w:val="000000"/>
        </w:rPr>
      </w:pPr>
      <w:r>
        <w:rPr>
          <w:rFonts w:eastAsia="Times New Roman"/>
          <w:b/>
          <w:color w:val="000000"/>
        </w:rPr>
        <w:t>Observation 4.</w:t>
      </w:r>
      <w:r>
        <w:rPr>
          <w:rFonts w:eastAsia="Times New Roman"/>
          <w:b/>
          <w:color w:val="000000"/>
        </w:rPr>
        <w:tab/>
        <w:t>In 4G</w:t>
      </w:r>
      <w:r>
        <w:rPr>
          <w:b/>
        </w:rPr>
        <w:t>/</w:t>
      </w:r>
      <w:r>
        <w:rPr>
          <w:rFonts w:eastAsia="Times New Roman"/>
          <w:b/>
          <w:color w:val="000000"/>
        </w:rPr>
        <w:t xml:space="preserve">5G, UE impact minimization relied mainly on static configuration and DRX-based optimizations, which operated independently across services and did not account for multi-purpose or cross-domain data flows. </w:t>
      </w:r>
    </w:p>
    <w:p w14:paraId="76555B29" w14:textId="77777777" w:rsidR="001A533C" w:rsidRDefault="001A533C">
      <w:pPr>
        <w:pBdr>
          <w:top w:val="nil"/>
          <w:left w:val="nil"/>
          <w:bottom w:val="nil"/>
          <w:right w:val="nil"/>
          <w:between w:val="nil"/>
        </w:pBdr>
        <w:tabs>
          <w:tab w:val="left" w:pos="0"/>
        </w:tabs>
        <w:ind w:left="1701" w:hanging="1701"/>
        <w:rPr>
          <w:b/>
        </w:rPr>
      </w:pPr>
    </w:p>
    <w:p w14:paraId="43971813" w14:textId="77777777" w:rsidR="001A533C" w:rsidRDefault="00000000">
      <w:r>
        <w:t>In 6G, non-user data is expected to become an integral part of network operation and intelligence. To maintain efficiency and scalability, UE impact minimization should be addressed as a framework-level design principle rather than as a feature-specific optimization. This requires a paradigm shift from UE-driven static configuration toward network-assisted adaptive coordination.</w:t>
      </w:r>
    </w:p>
    <w:p w14:paraId="16836533" w14:textId="77777777" w:rsidR="001A533C" w:rsidRDefault="001A533C"/>
    <w:p w14:paraId="73C0FBF9" w14:textId="17091A17" w:rsidR="00121773" w:rsidRDefault="00000000">
      <w:r>
        <w:t>Compared to 4G/5G, where each data type used independent procedures and fixed reporting intervals, 6G should enable the network to coordinate when, how often, and to whom data is reported, considering UE battery state, mobility, service context, and network load. The framework shall also support network-controlled scheduling and coordination, so that the network can trigger or defer data transfers in accordance with operator policy and radio resource availability, further minimizing UE energy consumption and signaling contention.</w:t>
      </w:r>
      <w:r w:rsidR="009A3FA5">
        <w:t xml:space="preserve"> </w:t>
      </w:r>
    </w:p>
    <w:p w14:paraId="603C465F" w14:textId="77777777" w:rsidR="00121773" w:rsidRDefault="00121773"/>
    <w:p w14:paraId="60AD924E" w14:textId="0980BC52" w:rsidR="001A533C" w:rsidRDefault="00121773">
      <w:r>
        <w:t>Also, the data transfer framework should enable adaptive reporting, allowing the UE to adjust reporting frequency, granularity, and data volume based on network configuration, channel conditions, or UE state (e.g., battery level or mobility status). Mechanisms such as batching, compression, event-triggered reporting, and local pre-processing may be employed to reduce signaling overhead and redundant transmissions.</w:t>
      </w:r>
    </w:p>
    <w:p w14:paraId="7DD2A482" w14:textId="77777777" w:rsidR="001A533C" w:rsidRDefault="001A533C"/>
    <w:p w14:paraId="14FE0ED5" w14:textId="77777777" w:rsidR="001A533C" w:rsidRDefault="00000000">
      <w:r>
        <w:t>In addition, compact and optimized transmission mechanisms should be considered. Examples include reducing AI/ML training or monitoring data while maintaining model accuracy, compressing sensing information through feature extraction or semantic filtering, applying selective packetization, or reporting at different processing levels (e.g., raw, features, objects, semantics). Flows can also be categorized and prioritized so that critical data is delivered with higher priority, while non-essential or redundant information is omitted or filtered at the data collection nodes.</w:t>
      </w:r>
    </w:p>
    <w:p w14:paraId="718BC1BD" w14:textId="77777777" w:rsidR="001A533C" w:rsidRDefault="001A533C"/>
    <w:p w14:paraId="199470FD" w14:textId="77777777" w:rsidR="001A533C" w:rsidRDefault="00000000">
      <w:r>
        <w:t xml:space="preserve">Furthermore, UE impact minimization in 6G should not be limited to radio-level optimization. The framework needs to ensure energy-aware and DRX/RRC-state-aware operation, allowing data collection and transfer to occur without unnecessary state transitions. The concept of intent-aware or context-aware aggregation should be introduced so that UE can reuse or combine sensing, AI/ML, and </w:t>
      </w:r>
      <w:proofErr w:type="spellStart"/>
      <w:r>
        <w:t>QoE</w:t>
      </w:r>
      <w:proofErr w:type="spellEnd"/>
      <w:r>
        <w:t xml:space="preserve"> measurements within the same reporting cycle. Ultimately, UE impact minimization must be viewed as an end-to-end efficiency goal, achieved through cooperation between RAN and CN procedures and policies.</w:t>
      </w:r>
    </w:p>
    <w:p w14:paraId="6EBF6104" w14:textId="77777777" w:rsidR="001A533C" w:rsidRDefault="001A533C"/>
    <w:p w14:paraId="3EF9BEC1" w14:textId="77777777" w:rsidR="001A533C" w:rsidRDefault="00000000">
      <w:pPr>
        <w:pBdr>
          <w:top w:val="nil"/>
          <w:left w:val="nil"/>
          <w:bottom w:val="nil"/>
          <w:right w:val="nil"/>
          <w:between w:val="nil"/>
        </w:pBdr>
        <w:tabs>
          <w:tab w:val="left" w:pos="0"/>
        </w:tabs>
        <w:ind w:left="1701" w:hanging="1701"/>
        <w:rPr>
          <w:b/>
          <w:color w:val="000000"/>
        </w:rPr>
      </w:pPr>
      <w:r>
        <w:rPr>
          <w:rFonts w:eastAsia="Times New Roman"/>
          <w:b/>
          <w:color w:val="000000"/>
        </w:rPr>
        <w:t xml:space="preserve">Proposal </w:t>
      </w:r>
      <w:r>
        <w:rPr>
          <w:b/>
        </w:rPr>
        <w:t>4</w:t>
      </w:r>
      <w:r>
        <w:rPr>
          <w:rFonts w:eastAsia="Times New Roman"/>
          <w:b/>
          <w:color w:val="000000"/>
        </w:rPr>
        <w:t>.</w:t>
      </w:r>
      <w:r>
        <w:rPr>
          <w:rFonts w:eastAsia="Times New Roman"/>
          <w:b/>
          <w:color w:val="000000"/>
        </w:rPr>
        <w:tab/>
        <w:t>RAN2 to maintain the framework-level principle that the 6G data transfer framework shall minimize UE impact</w:t>
      </w:r>
      <w:r>
        <w:rPr>
          <w:b/>
        </w:rPr>
        <w:t xml:space="preserve">, </w:t>
      </w:r>
      <w:r>
        <w:rPr>
          <w:rFonts w:eastAsia="Times New Roman"/>
          <w:b/>
          <w:color w:val="000000"/>
        </w:rPr>
        <w:t>focusing on studying generic procedures that enable:</w:t>
      </w:r>
    </w:p>
    <w:p w14:paraId="0E17C5F6" w14:textId="2AC55DB9" w:rsidR="001A533C" w:rsidRDefault="00000000">
      <w:pPr>
        <w:numPr>
          <w:ilvl w:val="0"/>
          <w:numId w:val="2"/>
        </w:numPr>
        <w:tabs>
          <w:tab w:val="left" w:pos="1843"/>
        </w:tabs>
      </w:pPr>
      <w:r>
        <w:rPr>
          <w:b/>
        </w:rPr>
        <w:t>Network-controlled scheduling and coordination</w:t>
      </w:r>
      <w:r>
        <w:t xml:space="preserve">: </w:t>
      </w:r>
      <w:r w:rsidR="00C40161">
        <w:t>A</w:t>
      </w:r>
      <w:r>
        <w:t xml:space="preserve">llowing the network to trigger or defer data transfers based on policy and resource </w:t>
      </w:r>
      <w:r w:rsidR="00827D9C">
        <w:t>conditions.</w:t>
      </w:r>
    </w:p>
    <w:p w14:paraId="41122BA9" w14:textId="70A94411" w:rsidR="001A533C" w:rsidRDefault="00000000">
      <w:pPr>
        <w:numPr>
          <w:ilvl w:val="0"/>
          <w:numId w:val="2"/>
        </w:numPr>
        <w:tabs>
          <w:tab w:val="left" w:pos="1843"/>
        </w:tabs>
      </w:pPr>
      <w:r>
        <w:rPr>
          <w:b/>
        </w:rPr>
        <w:t>Adaptive reporting</w:t>
      </w:r>
      <w:r>
        <w:t xml:space="preserve">: UE adjusts frequency, granularity, and data volume according to its state, mobility, and service </w:t>
      </w:r>
      <w:r w:rsidR="00827D9C">
        <w:t>context.</w:t>
      </w:r>
    </w:p>
    <w:p w14:paraId="7121BC32" w14:textId="28A5336B" w:rsidR="001A533C" w:rsidRDefault="00000000">
      <w:pPr>
        <w:numPr>
          <w:ilvl w:val="0"/>
          <w:numId w:val="2"/>
        </w:numPr>
        <w:tabs>
          <w:tab w:val="left" w:pos="1843"/>
        </w:tabs>
      </w:pPr>
      <w:r>
        <w:rPr>
          <w:b/>
        </w:rPr>
        <w:t>Compact and prioritized data transfer</w:t>
      </w:r>
      <w:r>
        <w:t xml:space="preserve">: </w:t>
      </w:r>
      <w:r w:rsidR="00C40161">
        <w:t>I</w:t>
      </w:r>
      <w:r>
        <w:t>ncluding selective packetization, batching, and semantic-level compression to reduce redundant transmissions</w:t>
      </w:r>
      <w:r w:rsidR="00827D9C">
        <w:t>.</w:t>
      </w:r>
    </w:p>
    <w:p w14:paraId="363DC725" w14:textId="64B25148" w:rsidR="001A533C" w:rsidRDefault="00000000">
      <w:pPr>
        <w:numPr>
          <w:ilvl w:val="0"/>
          <w:numId w:val="2"/>
        </w:numPr>
        <w:tabs>
          <w:tab w:val="left" w:pos="1843"/>
        </w:tabs>
      </w:pPr>
      <w:r>
        <w:rPr>
          <w:b/>
        </w:rPr>
        <w:t>Energy- and state-aware operation</w:t>
      </w:r>
      <w:r>
        <w:t xml:space="preserve">: </w:t>
      </w:r>
      <w:r w:rsidR="00C40161">
        <w:t>A</w:t>
      </w:r>
      <w:r>
        <w:t>llowing data transfer without unnecessary state transitions.</w:t>
      </w:r>
    </w:p>
    <w:p w14:paraId="7B0DAF61" w14:textId="77777777" w:rsidR="001A533C" w:rsidRDefault="001A533C"/>
    <w:p w14:paraId="570E0D61" w14:textId="71567A60" w:rsidR="001A533C" w:rsidRDefault="00000000">
      <w:pPr>
        <w:pStyle w:val="Heading4"/>
        <w:ind w:left="0" w:firstLine="0"/>
      </w:pPr>
      <w:bookmarkStart w:id="12" w:name="_431g28cb7yd9" w:colFirst="0" w:colLast="0"/>
      <w:bookmarkEnd w:id="12"/>
      <w:r>
        <w:t xml:space="preserve">Future-proof and </w:t>
      </w:r>
      <w:r w:rsidR="00DA0AD3">
        <w:t>Extendibility</w:t>
      </w:r>
      <w:r>
        <w:t xml:space="preserve"> </w:t>
      </w:r>
    </w:p>
    <w:p w14:paraId="512426B7" w14:textId="77777777" w:rsidR="001A533C" w:rsidRDefault="00000000">
      <w:pPr>
        <w:rPr>
          <w:i/>
        </w:rPr>
      </w:pPr>
      <w:r>
        <w:rPr>
          <w:b/>
          <w:i/>
        </w:rPr>
        <w:t>Design principle</w:t>
      </w:r>
      <w:r>
        <w:rPr>
          <w:i/>
        </w:rPr>
        <w:t>: The 6G data transfer framework shall be designed to be future-proof and easily extendable, accommodating the continuous evolution of use cases, services, and data types beyond initial 6G studies.</w:t>
      </w:r>
    </w:p>
    <w:p w14:paraId="72EE2A92" w14:textId="77777777" w:rsidR="001A533C" w:rsidRDefault="001A533C"/>
    <w:p w14:paraId="35E4190D" w14:textId="7BBF853D" w:rsidR="001A533C" w:rsidRDefault="00000000">
      <w:r>
        <w:t xml:space="preserve">Experience from 4G and 5G has shown that introducing new features or services often resulted in release-specific procedures and increased signaling complexity. In many cases, each new capability—such as SON/MDT, </w:t>
      </w:r>
      <w:proofErr w:type="spellStart"/>
      <w:r>
        <w:t>QoE</w:t>
      </w:r>
      <w:proofErr w:type="spellEnd"/>
      <w:r>
        <w:t xml:space="preserve"> reporting, or AI</w:t>
      </w:r>
      <w:r w:rsidR="00C40161">
        <w:t>/ML</w:t>
      </w:r>
      <w:r>
        <w:t>-assisted measurements—was introduced through dedicated configuration and reporting procedures, creating parallel signaling flows and duplicate IEs that could not be easily reused across services. This fragmented evolution led to interworking challenges, higher UE and network processing overhead, and difficulties in maintaining backward compatibility as the number of features grew. Consequently, the existing framework became less efficient and harder to extend, limiting interoperability, reuse, and long-term scalability across releases.</w:t>
      </w:r>
    </w:p>
    <w:p w14:paraId="0AA1E4DD" w14:textId="77777777" w:rsidR="001A533C" w:rsidRDefault="001A533C"/>
    <w:p w14:paraId="7FD59D4A" w14:textId="77777777" w:rsidR="001A533C" w:rsidRDefault="00000000">
      <w:pPr>
        <w:pBdr>
          <w:top w:val="nil"/>
          <w:left w:val="nil"/>
          <w:bottom w:val="nil"/>
          <w:right w:val="nil"/>
          <w:between w:val="nil"/>
        </w:pBdr>
        <w:tabs>
          <w:tab w:val="left" w:pos="0"/>
        </w:tabs>
        <w:ind w:left="1701" w:hanging="1701"/>
        <w:rPr>
          <w:b/>
          <w:color w:val="000000"/>
        </w:rPr>
      </w:pPr>
      <w:r>
        <w:rPr>
          <w:rFonts w:eastAsia="Times New Roman"/>
          <w:b/>
          <w:color w:val="000000"/>
        </w:rPr>
        <w:t>Observation 5.</w:t>
      </w:r>
      <w:r>
        <w:rPr>
          <w:rFonts w:eastAsia="Times New Roman"/>
          <w:b/>
          <w:color w:val="000000"/>
        </w:rPr>
        <w:tab/>
        <w:t>Experience from 4G and 5G has shown that introducing new features or services often resulted in release-specific procedures and increased signaling complexity. This fragmented evolution limited interoperability, reuse, and long-term scalability of the framework.</w:t>
      </w:r>
    </w:p>
    <w:p w14:paraId="41002A20" w14:textId="77777777" w:rsidR="001A533C" w:rsidRDefault="001A533C">
      <w:pPr>
        <w:tabs>
          <w:tab w:val="left" w:pos="1843"/>
        </w:tabs>
        <w:ind w:left="1842"/>
      </w:pPr>
    </w:p>
    <w:p w14:paraId="3E5CEC69" w14:textId="4C17E4F9" w:rsidR="001A533C" w:rsidRDefault="00000000" w:rsidP="00827D9C">
      <w:r w:rsidRPr="00827D9C">
        <w:lastRenderedPageBreak/>
        <w:t xml:space="preserve">Compared with 4G/5G—where release-specific features </w:t>
      </w:r>
      <w:r w:rsidR="00121773">
        <w:t>for new/enhanced use</w:t>
      </w:r>
      <w:r w:rsidR="003178CB">
        <w:t xml:space="preserve"> case and service </w:t>
      </w:r>
      <w:r w:rsidRPr="00827D9C">
        <w:t xml:space="preserve">often introduced parallel procedures and bespoke IEs—6G will need a framework that can evolve without re-wiring core signaling each time a new non-user data type or service appears. The goal is to avoid “one-feature-one-procedure” growth and instead promote reuse, abstraction, and policy-driven evolution across AI/ML, sensing (ISAC), SON/MDT, </w:t>
      </w:r>
      <w:proofErr w:type="spellStart"/>
      <w:r w:rsidRPr="00827D9C">
        <w:t>QoE</w:t>
      </w:r>
      <w:proofErr w:type="spellEnd"/>
      <w:r w:rsidRPr="00827D9C">
        <w:t>, and future categories.</w:t>
      </w:r>
    </w:p>
    <w:p w14:paraId="16898C2C" w14:textId="77777777" w:rsidR="00121773" w:rsidRPr="00121773" w:rsidRDefault="00121773" w:rsidP="00827D9C"/>
    <w:p w14:paraId="2ED243B3" w14:textId="10DBE839" w:rsidR="00121773" w:rsidRPr="00121773" w:rsidRDefault="00121773" w:rsidP="00827D9C">
      <w:r w:rsidRPr="00121773">
        <w:t xml:space="preserve">To achieve such evolution, the </w:t>
      </w:r>
      <w:r w:rsidRPr="003178CB">
        <w:t xml:space="preserve">6G data transfer framework should adopt a </w:t>
      </w:r>
      <w:r w:rsidRPr="00C562E0">
        <w:rPr>
          <w:rStyle w:val="Strong"/>
          <w:b w:val="0"/>
          <w:bCs w:val="0"/>
        </w:rPr>
        <w:t>unified design</w:t>
      </w:r>
      <w:r w:rsidRPr="003178CB">
        <w:t xml:space="preserve"> that provides a common structural foundation for all non-user data types </w:t>
      </w:r>
      <w:r w:rsidRPr="003178CB">
        <w:rPr>
          <w:lang w:val="en-US"/>
        </w:rPr>
        <w:t xml:space="preserve">even </w:t>
      </w:r>
      <w:r w:rsidRPr="00C562E0">
        <w:t>beyond initial 6G studies</w:t>
      </w:r>
      <w:r w:rsidRPr="003178CB">
        <w:t>. This unified design should enable consistent configuration, reporting, and transfer principles across different services, allowing diverse data flows to coexist within a single framework rather than through service-specific extensions.</w:t>
      </w:r>
    </w:p>
    <w:p w14:paraId="0DE6495F" w14:textId="77777777" w:rsidR="001A533C" w:rsidRPr="00827D9C" w:rsidRDefault="001A533C" w:rsidP="00827D9C"/>
    <w:p w14:paraId="56997117" w14:textId="1D14126B" w:rsidR="001A533C" w:rsidRPr="00827D9C" w:rsidRDefault="00000000" w:rsidP="00827D9C">
      <w:r w:rsidRPr="00827D9C">
        <w:t>Generic and modular architecture: the 6G data transfer framework should provide a generic and modular architecture, allowing new data categories (</w:t>
      </w:r>
      <w:r w:rsidR="003178CB">
        <w:t xml:space="preserve">e.g., </w:t>
      </w:r>
      <w:r w:rsidRPr="00827D9C">
        <w:t>future non-user data</w:t>
      </w:r>
      <w:r w:rsidR="003178CB">
        <w:t xml:space="preserve"> types and characteristics</w:t>
      </w:r>
      <w:r w:rsidRPr="00827D9C">
        <w:t>) to be integrated without redefining core signaling procedures or introducing incompatible extensions. The design shall separate common transport primitives (e.g., data publication, subscription, notification, acknowledgement) from use-case-specific semantics, enabling reuse across different services and avoiding duplication of procedures.</w:t>
      </w:r>
    </w:p>
    <w:p w14:paraId="5794664E" w14:textId="77777777" w:rsidR="001A533C" w:rsidRPr="00827D9C" w:rsidRDefault="001A533C" w:rsidP="00827D9C"/>
    <w:p w14:paraId="7325AE33" w14:textId="77777777" w:rsidR="001A533C" w:rsidRPr="00827D9C" w:rsidRDefault="00000000" w:rsidP="00827D9C">
      <w:r w:rsidRPr="00827D9C">
        <w:rPr>
          <w:rFonts w:eastAsia="Cardo"/>
        </w:rPr>
        <w:t>Termination-aware and plane-agnostic design: As analyzed in previous, the 6G data transfer framework should treat multiple producer/consumer pairs (e.g., UE, RAN, CN, OAM, third-party/AF) as abstract endpoints, so that mapping a flow (e.g., UE↔RAN, RAN↔OAM, RAN↔AF, etc.) does not force new procedures. It should remain plane-agnostic (CP/UP/DP) so that the same logical primitives can be bound to different transport choices as deployments evolve.</w:t>
      </w:r>
    </w:p>
    <w:p w14:paraId="0798E200" w14:textId="77777777" w:rsidR="001A533C" w:rsidRPr="00827D9C" w:rsidRDefault="001A533C" w:rsidP="00827D9C"/>
    <w:p w14:paraId="0F22DD10" w14:textId="77777777" w:rsidR="001A533C" w:rsidRPr="00827D9C" w:rsidRDefault="00000000" w:rsidP="00827D9C">
      <w:r w:rsidRPr="00827D9C">
        <w:t>Policy-driven evolution (not procedure changes): Instead of adding new procedures, the framework should allow policy updates to steer where/when/how data is transferred: destination eligibility, QoS class, priority, retention, and routing. This policy abstraction lets operators introduce new services without redesigning the signaling flow.</w:t>
      </w:r>
    </w:p>
    <w:p w14:paraId="47877818" w14:textId="77777777" w:rsidR="001A533C" w:rsidRDefault="001A533C"/>
    <w:p w14:paraId="3316FCEC" w14:textId="79A446FE" w:rsidR="001A533C" w:rsidRDefault="00000000">
      <w:pPr>
        <w:pBdr>
          <w:top w:val="nil"/>
          <w:left w:val="nil"/>
          <w:bottom w:val="nil"/>
          <w:right w:val="nil"/>
          <w:between w:val="nil"/>
        </w:pBdr>
        <w:tabs>
          <w:tab w:val="left" w:pos="0"/>
        </w:tabs>
        <w:ind w:left="1701" w:hanging="1701"/>
        <w:rPr>
          <w:b/>
          <w:color w:val="000000"/>
        </w:rPr>
      </w:pPr>
      <w:r>
        <w:rPr>
          <w:rFonts w:eastAsia="Times New Roman"/>
          <w:b/>
          <w:color w:val="000000"/>
        </w:rPr>
        <w:t xml:space="preserve">Proposal </w:t>
      </w:r>
      <w:r w:rsidR="0056204F">
        <w:rPr>
          <w:b/>
          <w:color w:val="000000"/>
        </w:rPr>
        <w:t>5</w:t>
      </w:r>
      <w:r>
        <w:rPr>
          <w:rFonts w:eastAsia="Times New Roman"/>
          <w:b/>
          <w:color w:val="000000"/>
        </w:rPr>
        <w:t>.</w:t>
      </w:r>
      <w:r>
        <w:rPr>
          <w:rFonts w:eastAsia="Times New Roman"/>
          <w:b/>
          <w:color w:val="000000"/>
        </w:rPr>
        <w:tab/>
        <w:t>RAN2 to focus on</w:t>
      </w:r>
      <w:r w:rsidR="00121773">
        <w:rPr>
          <w:rFonts w:eastAsia="Times New Roman"/>
          <w:b/>
          <w:color w:val="000000"/>
        </w:rPr>
        <w:t xml:space="preserve"> designing a unified</w:t>
      </w:r>
      <w:r>
        <w:rPr>
          <w:rFonts w:eastAsia="Times New Roman"/>
          <w:b/>
          <w:color w:val="000000"/>
        </w:rPr>
        <w:t xml:space="preserve"> 6G data transfer framework</w:t>
      </w:r>
      <w:r w:rsidR="00121773">
        <w:rPr>
          <w:rFonts w:eastAsia="Times New Roman"/>
          <w:b/>
          <w:color w:val="000000"/>
        </w:rPr>
        <w:t xml:space="preserve"> for future-proof </w:t>
      </w:r>
      <w:r w:rsidR="00121773">
        <w:rPr>
          <w:b/>
        </w:rPr>
        <w:t>and e</w:t>
      </w:r>
      <w:r w:rsidR="00121773" w:rsidRPr="00121773">
        <w:rPr>
          <w:b/>
        </w:rPr>
        <w:t>xtendibility</w:t>
      </w:r>
      <w:r>
        <w:rPr>
          <w:rFonts w:eastAsia="Times New Roman"/>
          <w:b/>
          <w:color w:val="000000"/>
        </w:rPr>
        <w:t>, without introducing new or incompatible procedures.</w:t>
      </w:r>
    </w:p>
    <w:p w14:paraId="44957792" w14:textId="4BAB6E83" w:rsidR="00C40161" w:rsidRPr="00C40161" w:rsidRDefault="00C40161" w:rsidP="00C562E0">
      <w:pPr>
        <w:pStyle w:val="ListParagraph"/>
        <w:numPr>
          <w:ilvl w:val="0"/>
          <w:numId w:val="9"/>
        </w:numPr>
        <w:pBdr>
          <w:top w:val="nil"/>
          <w:left w:val="nil"/>
          <w:bottom w:val="nil"/>
          <w:right w:val="nil"/>
          <w:between w:val="nil"/>
        </w:pBdr>
        <w:tabs>
          <w:tab w:val="left" w:pos="0"/>
        </w:tabs>
      </w:pPr>
      <w:r w:rsidRPr="00C562E0">
        <w:rPr>
          <w:rFonts w:eastAsia="Times New Roman"/>
          <w:b/>
          <w:color w:val="000000"/>
        </w:rPr>
        <w:t xml:space="preserve">Unified/common framework baseline: </w:t>
      </w:r>
      <w:r w:rsidRPr="00C562E0">
        <w:rPr>
          <w:color w:val="000000"/>
        </w:rPr>
        <w:t>Establish a unified transfer framework applicable across multiple non-user data types, ensuring common procedures, signaling primitives, and QoS mapping rules as much as feasible.</w:t>
      </w:r>
    </w:p>
    <w:p w14:paraId="13F1B929" w14:textId="4B23A888" w:rsidR="001A533C" w:rsidRDefault="00000000">
      <w:pPr>
        <w:numPr>
          <w:ilvl w:val="0"/>
          <w:numId w:val="9"/>
        </w:numPr>
        <w:tabs>
          <w:tab w:val="left" w:pos="1843"/>
        </w:tabs>
        <w:rPr>
          <w:b/>
        </w:rPr>
      </w:pPr>
      <w:r>
        <w:rPr>
          <w:b/>
        </w:rPr>
        <w:t xml:space="preserve">Generic and modular architecture: </w:t>
      </w:r>
      <w:r>
        <w:t>Separate common part from use-case-specific part</w:t>
      </w:r>
      <w:r w:rsidR="003178CB">
        <w:t>.</w:t>
      </w:r>
    </w:p>
    <w:p w14:paraId="3B59220D" w14:textId="585D05BB" w:rsidR="001A533C" w:rsidRDefault="00000000">
      <w:pPr>
        <w:numPr>
          <w:ilvl w:val="0"/>
          <w:numId w:val="9"/>
        </w:numPr>
        <w:tabs>
          <w:tab w:val="left" w:pos="1843"/>
        </w:tabs>
        <w:rPr>
          <w:b/>
        </w:rPr>
      </w:pPr>
      <w:r>
        <w:rPr>
          <w:b/>
        </w:rPr>
        <w:t xml:space="preserve">Termination-aware and plane-agnostic design: </w:t>
      </w:r>
      <w:r>
        <w:t>Plane-agnostic (CP/UP/DP) design to support multiple producer/consumer pairs</w:t>
      </w:r>
      <w:r w:rsidR="003178CB">
        <w:t>.</w:t>
      </w:r>
    </w:p>
    <w:p w14:paraId="657C237D" w14:textId="24C6B54B" w:rsidR="001A533C" w:rsidRDefault="00000000">
      <w:pPr>
        <w:numPr>
          <w:ilvl w:val="0"/>
          <w:numId w:val="9"/>
        </w:numPr>
        <w:tabs>
          <w:tab w:val="left" w:pos="1843"/>
        </w:tabs>
        <w:rPr>
          <w:b/>
        </w:rPr>
      </w:pPr>
      <w:r>
        <w:rPr>
          <w:b/>
        </w:rPr>
        <w:t xml:space="preserve">Policy-driven evolution: </w:t>
      </w:r>
      <w:r>
        <w:t>Allow policy updates to steer where/when/how data is transferred</w:t>
      </w:r>
      <w:r w:rsidR="003178CB">
        <w:t>.</w:t>
      </w:r>
    </w:p>
    <w:p w14:paraId="666A5949" w14:textId="77777777" w:rsidR="001A533C" w:rsidRDefault="001A533C"/>
    <w:p w14:paraId="18F02E6C" w14:textId="0B71EE1C" w:rsidR="001A533C" w:rsidRDefault="00000000">
      <w:pPr>
        <w:pStyle w:val="Heading2"/>
        <w:tabs>
          <w:tab w:val="left" w:pos="1165"/>
        </w:tabs>
        <w:ind w:left="0"/>
      </w:pPr>
      <w:bookmarkStart w:id="13" w:name="_maykcggt9np8" w:colFirst="0" w:colLast="0"/>
      <w:bookmarkEnd w:id="13"/>
      <w:r>
        <w:t>2.2</w:t>
      </w:r>
      <w:r>
        <w:tab/>
      </w:r>
      <w:r w:rsidR="00A63E99" w:rsidRPr="00A63E99">
        <w:t>6G AI/ML Life Cycle Management (LCM) framework</w:t>
      </w:r>
    </w:p>
    <w:p w14:paraId="5131A419" w14:textId="77777777" w:rsidR="001A533C" w:rsidRDefault="00000000">
      <w:pPr>
        <w:tabs>
          <w:tab w:val="left" w:pos="1843"/>
        </w:tabs>
      </w:pPr>
      <w:r>
        <w:t>In 5G NR, LCM framework for AI/ML operation has been specified based on intensive discussion in RAN1 and RAN2. For 6GR, this framework can be a good starting point of discussion. In the last meeting, RAN2 reached out the following agreement:</w:t>
      </w:r>
    </w:p>
    <w:p w14:paraId="345BABBF" w14:textId="3B161ADF" w:rsidR="0056204F" w:rsidRDefault="0056204F">
      <w:pPr>
        <w:tabs>
          <w:tab w:val="left" w:pos="1843"/>
        </w:tabs>
      </w:pPr>
    </w:p>
    <w:tbl>
      <w:tblPr>
        <w:tblStyle w:val="TableGrid"/>
        <w:tblW w:w="0" w:type="auto"/>
        <w:tblLook w:val="04A0" w:firstRow="1" w:lastRow="0" w:firstColumn="1" w:lastColumn="0" w:noHBand="0" w:noVBand="1"/>
      </w:tblPr>
      <w:tblGrid>
        <w:gridCol w:w="10194"/>
      </w:tblGrid>
      <w:tr w:rsidR="0056204F" w14:paraId="3DB406B1" w14:textId="77777777" w:rsidTr="0056204F">
        <w:tc>
          <w:tcPr>
            <w:tcW w:w="10194" w:type="dxa"/>
          </w:tcPr>
          <w:p w14:paraId="3D89C5F4" w14:textId="77777777" w:rsidR="0056204F" w:rsidRPr="00986CDC" w:rsidRDefault="0056204F" w:rsidP="0056204F">
            <w:pPr>
              <w:pStyle w:val="Doc-text2"/>
              <w:ind w:left="363"/>
              <w:rPr>
                <w:b/>
                <w:bCs/>
              </w:rPr>
            </w:pPr>
            <w:r w:rsidRPr="00986CDC">
              <w:rPr>
                <w:b/>
                <w:bCs/>
              </w:rPr>
              <w:t>Agreements on LCM</w:t>
            </w:r>
          </w:p>
          <w:p w14:paraId="697BE3F3" w14:textId="77777777" w:rsidR="0056204F" w:rsidRPr="00986CDC" w:rsidRDefault="0056204F" w:rsidP="0056204F">
            <w:pPr>
              <w:pStyle w:val="Doc-text2"/>
              <w:ind w:left="363"/>
            </w:pPr>
            <w:r w:rsidRPr="00986CDC">
              <w:t xml:space="preserve">Study 6G AI/ML LCM framework that supports at least the following functions/procedures: </w:t>
            </w:r>
          </w:p>
          <w:p w14:paraId="50E4D7F7" w14:textId="77777777" w:rsidR="0056204F" w:rsidRPr="00986CDC" w:rsidRDefault="0056204F" w:rsidP="0056204F">
            <w:pPr>
              <w:pStyle w:val="Doc-text2"/>
              <w:numPr>
                <w:ilvl w:val="0"/>
                <w:numId w:val="12"/>
              </w:numPr>
              <w:overflowPunct/>
              <w:autoSpaceDE/>
              <w:autoSpaceDN/>
              <w:adjustRightInd/>
              <w:ind w:left="720"/>
              <w:textAlignment w:val="auto"/>
            </w:pPr>
            <w:r w:rsidRPr="00986CDC">
              <w:t xml:space="preserve">UE AI/ML Capabilities </w:t>
            </w:r>
            <w:proofErr w:type="gramStart"/>
            <w:r w:rsidRPr="00986CDC">
              <w:t>Exchange;</w:t>
            </w:r>
            <w:proofErr w:type="gramEnd"/>
          </w:p>
          <w:p w14:paraId="763DEDC7" w14:textId="77777777" w:rsidR="0056204F" w:rsidRPr="00986CDC" w:rsidRDefault="0056204F" w:rsidP="0056204F">
            <w:pPr>
              <w:pStyle w:val="Doc-text2"/>
              <w:numPr>
                <w:ilvl w:val="0"/>
                <w:numId w:val="12"/>
              </w:numPr>
              <w:overflowPunct/>
              <w:autoSpaceDE/>
              <w:autoSpaceDN/>
              <w:adjustRightInd/>
              <w:ind w:left="720"/>
              <w:textAlignment w:val="auto"/>
            </w:pPr>
            <w:r w:rsidRPr="00986CDC">
              <w:t xml:space="preserve">Applicable Functionality </w:t>
            </w:r>
            <w:proofErr w:type="gramStart"/>
            <w:r w:rsidRPr="00986CDC">
              <w:t>Reporting;</w:t>
            </w:r>
            <w:proofErr w:type="gramEnd"/>
          </w:p>
          <w:p w14:paraId="40D7DD56" w14:textId="77777777" w:rsidR="0056204F" w:rsidRPr="00986CDC" w:rsidRDefault="0056204F" w:rsidP="0056204F">
            <w:pPr>
              <w:pStyle w:val="Doc-text2"/>
              <w:numPr>
                <w:ilvl w:val="0"/>
                <w:numId w:val="12"/>
              </w:numPr>
              <w:overflowPunct/>
              <w:autoSpaceDE/>
              <w:autoSpaceDN/>
              <w:adjustRightInd/>
              <w:ind w:left="720"/>
              <w:textAlignment w:val="auto"/>
            </w:pPr>
            <w:r w:rsidRPr="00986CDC">
              <w:t xml:space="preserve">Inference Configuration and </w:t>
            </w:r>
            <w:proofErr w:type="gramStart"/>
            <w:r w:rsidRPr="00986CDC">
              <w:t>Reporting;</w:t>
            </w:r>
            <w:proofErr w:type="gramEnd"/>
          </w:p>
          <w:p w14:paraId="20DE020E" w14:textId="77777777" w:rsidR="0056204F" w:rsidRDefault="0056204F" w:rsidP="0056204F">
            <w:pPr>
              <w:pStyle w:val="Doc-text2"/>
              <w:numPr>
                <w:ilvl w:val="0"/>
                <w:numId w:val="12"/>
              </w:numPr>
              <w:overflowPunct/>
              <w:autoSpaceDE/>
              <w:autoSpaceDN/>
              <w:adjustRightInd/>
              <w:ind w:left="720"/>
              <w:textAlignment w:val="auto"/>
            </w:pPr>
            <w:r w:rsidRPr="00986CDC">
              <w:t xml:space="preserve">Performance Monitoring Configuration and </w:t>
            </w:r>
            <w:proofErr w:type="gramStart"/>
            <w:r w:rsidRPr="00986CDC">
              <w:t>Reporting;</w:t>
            </w:r>
            <w:proofErr w:type="gramEnd"/>
          </w:p>
          <w:p w14:paraId="38916A9E" w14:textId="14EB45B6" w:rsidR="0056204F" w:rsidRDefault="0056204F" w:rsidP="0056204F">
            <w:pPr>
              <w:pStyle w:val="Doc-text2"/>
              <w:numPr>
                <w:ilvl w:val="0"/>
                <w:numId w:val="12"/>
              </w:numPr>
              <w:overflowPunct/>
              <w:autoSpaceDE/>
              <w:autoSpaceDN/>
              <w:adjustRightInd/>
              <w:ind w:left="720"/>
              <w:textAlignment w:val="auto"/>
            </w:pPr>
            <w:r w:rsidRPr="00986CDC">
              <w:t>Functionality (De-)Activation and Fallback/Switching to the AI/ML/non-AI/ML Functionality</w:t>
            </w:r>
            <w:r w:rsidRPr="0056204F">
              <w:rPr>
                <w:i/>
                <w:iCs/>
              </w:rPr>
              <w:t>;</w:t>
            </w:r>
          </w:p>
        </w:tc>
      </w:tr>
    </w:tbl>
    <w:p w14:paraId="29EA1DF6" w14:textId="1E32B0F7" w:rsidR="001A533C" w:rsidRDefault="001A533C">
      <w:pPr>
        <w:tabs>
          <w:tab w:val="left" w:pos="1843"/>
        </w:tabs>
      </w:pPr>
    </w:p>
    <w:p w14:paraId="158C3558" w14:textId="77777777" w:rsidR="001A533C" w:rsidRDefault="00000000">
      <w:pPr>
        <w:tabs>
          <w:tab w:val="left" w:pos="1843"/>
        </w:tabs>
      </w:pPr>
      <w:r>
        <w:t>While a unified LCM framework for AI/ML across various use cases has been proposed by some companies, it is recognized that the level of unification may differ between the functional and procedural aspects. In particular, the functional framework, defining common capability exchange, reporting, activation/deactivation, and performance monitoring functions, can be largely unified across use cases. However, the procedural framework, detailing how these functions are executed, triggered, and optimized, is more use case–specific, making full unification challenging. This is due to differences in requirements such as inference triggering conditions, fallback mechanisms, and data collection methods, which vary significantly among AI/ML use cases.</w:t>
      </w:r>
    </w:p>
    <w:p w14:paraId="3EE735AE" w14:textId="77777777" w:rsidR="001A533C" w:rsidRDefault="001A533C">
      <w:pPr>
        <w:tabs>
          <w:tab w:val="left" w:pos="1843"/>
        </w:tabs>
      </w:pPr>
    </w:p>
    <w:p w14:paraId="47031D57" w14:textId="77777777" w:rsidR="001A533C" w:rsidRDefault="00000000">
      <w:pPr>
        <w:tabs>
          <w:tab w:val="left" w:pos="1843"/>
        </w:tabs>
      </w:pPr>
      <w:r>
        <w:t xml:space="preserve">Therefore, rather than focusing on developing a fully unified LCM framework across all AI/ML use cases, it would be more effective to study enhancements to the existing 5G NR LCM framework where performance and operational efficiency can be improved. </w:t>
      </w:r>
    </w:p>
    <w:p w14:paraId="5D89773C" w14:textId="77777777" w:rsidR="001A533C" w:rsidRDefault="001A533C">
      <w:pPr>
        <w:tabs>
          <w:tab w:val="left" w:pos="1843"/>
        </w:tabs>
      </w:pPr>
    </w:p>
    <w:p w14:paraId="7DB01076" w14:textId="770284E8" w:rsidR="001A533C" w:rsidRDefault="00000000" w:rsidP="0056204F">
      <w:pPr>
        <w:pStyle w:val="Style1"/>
      </w:pPr>
      <w:r>
        <w:t xml:space="preserve">Observation </w:t>
      </w:r>
      <w:r w:rsidR="0056204F">
        <w:t>6</w:t>
      </w:r>
      <w:r>
        <w:t>.</w:t>
      </w:r>
      <w:r w:rsidR="0056204F">
        <w:tab/>
      </w:r>
      <w:r>
        <w:t xml:space="preserve">While a unified LCM framework for AI/ML across various use cases has been proposed by some companies, it is recognized that the level of unification may differ between the functional and </w:t>
      </w:r>
      <w:r>
        <w:lastRenderedPageBreak/>
        <w:t>procedural aspects. It would be more effective to study enhancements to the existing 5G NR LCM framework where performance and operational efficiency can be improved.</w:t>
      </w:r>
    </w:p>
    <w:p w14:paraId="66746CA3" w14:textId="77777777" w:rsidR="001A533C" w:rsidRDefault="001A533C">
      <w:pPr>
        <w:tabs>
          <w:tab w:val="left" w:pos="1843"/>
        </w:tabs>
      </w:pPr>
    </w:p>
    <w:p w14:paraId="1B78871A" w14:textId="77777777" w:rsidR="001A533C" w:rsidRDefault="00000000">
      <w:pPr>
        <w:tabs>
          <w:tab w:val="left" w:pos="1843"/>
        </w:tabs>
      </w:pPr>
      <w:r>
        <w:t>In our view, there are several points for enhancing the 5G NR LCM framework in terms of performance and/or operation efficiency for 6GR.</w:t>
      </w:r>
    </w:p>
    <w:p w14:paraId="79E3BAC5" w14:textId="77777777" w:rsidR="001A533C" w:rsidRDefault="001A533C">
      <w:pPr>
        <w:tabs>
          <w:tab w:val="left" w:pos="1843"/>
        </w:tabs>
      </w:pPr>
    </w:p>
    <w:p w14:paraId="30811EF7" w14:textId="77777777" w:rsidR="001A533C" w:rsidRDefault="00000000">
      <w:pPr>
        <w:tabs>
          <w:tab w:val="left" w:pos="1843"/>
        </w:tabs>
      </w:pPr>
      <w:r>
        <w:t>First, the LCM signaling overhead should be significantly reduced, considering both configuration and signaling aspects. The 5G NR LCM framework addressed only a limited set of use cases, whereas the 6GR LCM framework is expected to support a much broader range of AI/ML use cases, such as coding/modulation, initial/random access, multi-carrier operation, and mobility/RLM. This expansion will naturally increase both LCM configuration and signaling overhead, including configuration and signaling for applicability reports, performance monitoring, and activation/deactivation/switching of functionalities and models.</w:t>
      </w:r>
    </w:p>
    <w:p w14:paraId="648DA5E5" w14:textId="77777777" w:rsidR="001A533C" w:rsidRDefault="001A533C">
      <w:pPr>
        <w:tabs>
          <w:tab w:val="left" w:pos="1843"/>
        </w:tabs>
      </w:pPr>
    </w:p>
    <w:p w14:paraId="29223CED" w14:textId="77777777" w:rsidR="001A533C" w:rsidRDefault="00000000">
      <w:pPr>
        <w:tabs>
          <w:tab w:val="left" w:pos="1843"/>
        </w:tabs>
      </w:pPr>
      <w:r>
        <w:t xml:space="preserve">From a configuration perspective, the 5G NR framework requires a full inference configuration for each AI/ML inference candidate when using Option A. Considering the expansion of AI/ML use cases in 6GR, reducing configuration overhead should be carefully studied. For instance, a light-weight configuration </w:t>
      </w:r>
      <w:proofErr w:type="gramStart"/>
      <w:r>
        <w:t>similar to</w:t>
      </w:r>
      <w:proofErr w:type="gramEnd"/>
      <w:r>
        <w:t xml:space="preserve"> Option B for applicability reports could be introduced. Moreover, overall LCM configuration overhead should be managed at a reasonable level, noting that heavy RRC configuration already posed challenges in 5G NR deployments.</w:t>
      </w:r>
    </w:p>
    <w:p w14:paraId="218817CE" w14:textId="77777777" w:rsidR="001A533C" w:rsidRDefault="001A533C">
      <w:pPr>
        <w:tabs>
          <w:tab w:val="left" w:pos="1843"/>
        </w:tabs>
      </w:pPr>
    </w:p>
    <w:p w14:paraId="7D060D27" w14:textId="77777777" w:rsidR="001A533C" w:rsidRDefault="00000000">
      <w:pPr>
        <w:tabs>
          <w:tab w:val="left" w:pos="1843"/>
        </w:tabs>
      </w:pPr>
      <w:r>
        <w:t xml:space="preserve">From a signaling perspective, managing AI/ML operation across multiple (sub-)use cases becomes crucial in 6GR. To improve efficiency, pre-defined or pre-configured priority-based control across (sub-)use cases can be considered. UE-centric or UE-assisted LCM may also help reduce excessive signaling and network management burden by allowing UE-based decisions such as fallback, (de)activation or switching. Furthermore, grouping functionalities or models based on related network-side conditions (e.g., site or scenario) and performing group-based activation/deactivation/switching can significantly reduce signaling for UEs supporting multiple AI/ML use cases. For network-side model management, where signaling may involve </w:t>
      </w:r>
      <w:proofErr w:type="gramStart"/>
      <w:r>
        <w:t>a large number of</w:t>
      </w:r>
      <w:proofErr w:type="gramEnd"/>
      <w:r>
        <w:t xml:space="preserve"> UEs (e.g., upon model switching or update), UE group-based LCM can also be considered to minimize signaling load. In this case, multiple UEs sharing the same functionality or model can be managed collectively, instead of requiring dedicated signaling per UE. </w:t>
      </w:r>
    </w:p>
    <w:p w14:paraId="6C3390C5" w14:textId="77777777" w:rsidR="001A533C" w:rsidRDefault="00000000">
      <w:pPr>
        <w:tabs>
          <w:tab w:val="left" w:pos="1843"/>
        </w:tabs>
      </w:pPr>
      <w:r>
        <w:t xml:space="preserve"> </w:t>
      </w:r>
    </w:p>
    <w:p w14:paraId="1145BC4C" w14:textId="1EB0A0AE" w:rsidR="001A533C" w:rsidRDefault="00000000" w:rsidP="0056204F">
      <w:pPr>
        <w:pStyle w:val="Style1"/>
      </w:pPr>
      <w:r>
        <w:t xml:space="preserve">Observation </w:t>
      </w:r>
      <w:r w:rsidR="0056204F">
        <w:t>7</w:t>
      </w:r>
      <w:r>
        <w:t xml:space="preserve">. </w:t>
      </w:r>
      <w:r w:rsidR="0056204F">
        <w:tab/>
      </w:r>
      <w:r>
        <w:t>6GR LCM framework is expected to support a broader range of AI/ML use cases than 5G NR, leading to increased LCM related configuration and signaling overhead. To address this, lightweight LCM configuration, priority-based control, group-based control, and UE-based/assisted mechanisms can be studied to maintain scalability and reduce network burden.</w:t>
      </w:r>
    </w:p>
    <w:p w14:paraId="3B556449" w14:textId="77777777" w:rsidR="001A533C" w:rsidRDefault="001A533C">
      <w:pPr>
        <w:tabs>
          <w:tab w:val="left" w:pos="1843"/>
        </w:tabs>
      </w:pPr>
    </w:p>
    <w:p w14:paraId="55F51298" w14:textId="77777777" w:rsidR="001A533C" w:rsidRDefault="00000000">
      <w:pPr>
        <w:tabs>
          <w:tab w:val="left" w:pos="1843"/>
        </w:tabs>
      </w:pPr>
      <w:r>
        <w:t>Second, faster and more dynamic functionality/model switching should be supported. In 5G NR, generalized models have been preferred to reduce LCM overhead, minimize specification impact, and protect proprietary information. However, to fully exploit the performance potential of AI/ML in 6GR, localized models should be supported together with faster and more dynamic functionality/model switching mechanisms.</w:t>
      </w:r>
    </w:p>
    <w:p w14:paraId="35D73566" w14:textId="77777777" w:rsidR="001A533C" w:rsidRDefault="001A533C">
      <w:pPr>
        <w:tabs>
          <w:tab w:val="left" w:pos="1843"/>
        </w:tabs>
      </w:pPr>
    </w:p>
    <w:p w14:paraId="1C285E47" w14:textId="77777777" w:rsidR="001A533C" w:rsidRDefault="00000000">
      <w:pPr>
        <w:tabs>
          <w:tab w:val="left" w:pos="1843"/>
        </w:tabs>
      </w:pPr>
      <w:r>
        <w:t xml:space="preserve">In 5G NR, when the UE reports an inapplicable functionality, the network is expected to release the corresponding configuration. If the same functionality later becomes applicable, RRC reconfiguration is required even when the configuration content remains identical. This approach may not be efficient in 6GR scenarios involving dynamic functionality switching with localized models, and therefore, improvement of the existing 5G NR framework is needed. </w:t>
      </w:r>
    </w:p>
    <w:p w14:paraId="53B58390" w14:textId="77777777" w:rsidR="001A533C" w:rsidRDefault="001A533C">
      <w:pPr>
        <w:tabs>
          <w:tab w:val="left" w:pos="1843"/>
        </w:tabs>
      </w:pPr>
    </w:p>
    <w:p w14:paraId="758506DF" w14:textId="77777777" w:rsidR="001A533C" w:rsidRDefault="00000000">
      <w:pPr>
        <w:tabs>
          <w:tab w:val="left" w:pos="1843"/>
        </w:tabs>
      </w:pPr>
      <w:r>
        <w:t>Another important aspect is performance monitoring. In 5G NR, the UE calculates and reports monitoring metrics only for active models. For 6GR, enabling performance monitoring for inactive models could facilitate faster functionality/model switching. To this end, efficient methods to limit or optimize the monitoring set should be carefully investigated.</w:t>
      </w:r>
    </w:p>
    <w:p w14:paraId="0B6597DE" w14:textId="77777777" w:rsidR="001A533C" w:rsidRDefault="001A533C">
      <w:pPr>
        <w:tabs>
          <w:tab w:val="left" w:pos="1843"/>
        </w:tabs>
      </w:pPr>
    </w:p>
    <w:p w14:paraId="537FE70E" w14:textId="4061A6D7" w:rsidR="001A533C" w:rsidRDefault="00000000" w:rsidP="0056204F">
      <w:pPr>
        <w:pStyle w:val="Style1"/>
      </w:pPr>
      <w:r>
        <w:t xml:space="preserve">Observation </w:t>
      </w:r>
      <w:r w:rsidR="0056204F">
        <w:t>8</w:t>
      </w:r>
      <w:r>
        <w:t xml:space="preserve">. </w:t>
      </w:r>
      <w:r w:rsidR="0056204F">
        <w:tab/>
      </w:r>
      <w:r>
        <w:t xml:space="preserve">To realize the full potential of AI/ML in 6GR, the LCM framework should support localized models with faster and more dynamic LCM operation. Enhancements to the existing 5G NR mechanisms, such as dynamic functionality/model switching and selective performance monitoring for inactive functionality/model, will be essential to achieve this goal. </w:t>
      </w:r>
    </w:p>
    <w:p w14:paraId="6CCFE1E5" w14:textId="77777777" w:rsidR="001A533C" w:rsidRDefault="001A533C">
      <w:pPr>
        <w:tabs>
          <w:tab w:val="left" w:pos="1843"/>
        </w:tabs>
      </w:pPr>
    </w:p>
    <w:p w14:paraId="3DE747B8" w14:textId="77777777" w:rsidR="0056204F" w:rsidRDefault="00000000" w:rsidP="0056204F">
      <w:pPr>
        <w:pStyle w:val="Style1"/>
      </w:pPr>
      <w:r>
        <w:t>Proposal 6.</w:t>
      </w:r>
      <w:r>
        <w:tab/>
        <w:t>Study AI LCM framework enhancement based on 5G NR LCM:</w:t>
      </w:r>
    </w:p>
    <w:p w14:paraId="4A94E5D2" w14:textId="77777777" w:rsidR="0056204F" w:rsidRDefault="0056204F" w:rsidP="0056204F">
      <w:pPr>
        <w:pStyle w:val="Style1"/>
      </w:pPr>
      <w:r>
        <w:tab/>
      </w:r>
      <w:r>
        <w:tab/>
        <w:t>a. Reduced signaling/configuration overhead for LCM operation</w:t>
      </w:r>
    </w:p>
    <w:p w14:paraId="10C433ED" w14:textId="65367BD2" w:rsidR="001A533C" w:rsidRDefault="0056204F" w:rsidP="0056204F">
      <w:pPr>
        <w:pStyle w:val="Style1"/>
      </w:pPr>
      <w:r>
        <w:tab/>
      </w:r>
      <w:r>
        <w:tab/>
        <w:t>b. Support of fast and dynamic LCM operations considering localized model implementation</w:t>
      </w:r>
    </w:p>
    <w:p w14:paraId="5208B881" w14:textId="77777777" w:rsidR="001A533C" w:rsidRDefault="001A533C">
      <w:pPr>
        <w:tabs>
          <w:tab w:val="left" w:pos="1843"/>
        </w:tabs>
      </w:pPr>
    </w:p>
    <w:p w14:paraId="339B098D" w14:textId="77777777" w:rsidR="001A533C" w:rsidRDefault="00000000">
      <w:pPr>
        <w:tabs>
          <w:tab w:val="left" w:pos="1843"/>
        </w:tabs>
      </w:pPr>
      <w:r>
        <w:t xml:space="preserve">An enhanced framework for AI Processing Units (APU) can be considered for 6GR. Since AI/ML processing often relies on dedicated hardware (e.g., GPU, AI engine), the number of AI/ML use cases that a UE can process simultaneously is inherently limited. In 5G NR, the CSI Processing Unit (CPU) mechanism was introduced to enable efficient and simultaneous CSI processing at the UE. This mechanism ensures that both the network and the UE share a consistent understanding of how many and which CSI instances are currently being processed, thereby maintaining overall system reliability and preventing unnecessary resource utilization. For 5G NR, this CPU framework has also been reused for AI/ML-based CSI use cases. In 6GR, the APU framework should be designed to support a broader range of AI/ML use cases beyond CSI, including non-CSI </w:t>
      </w:r>
      <w:r>
        <w:lastRenderedPageBreak/>
        <w:t>applications such as L2/L3 functions, as these may also occupy AI-related hardware resources. In addition, whether inactive model monitoring should consume PU resources is another key consideration for efficiency and scalability.</w:t>
      </w:r>
    </w:p>
    <w:p w14:paraId="5DCA3426" w14:textId="77777777" w:rsidR="001A533C" w:rsidRDefault="001A533C">
      <w:pPr>
        <w:tabs>
          <w:tab w:val="left" w:pos="1843"/>
        </w:tabs>
      </w:pPr>
    </w:p>
    <w:p w14:paraId="313F6C0C" w14:textId="703A1E44" w:rsidR="001A533C" w:rsidRDefault="00000000" w:rsidP="0056204F">
      <w:pPr>
        <w:pStyle w:val="Style1"/>
      </w:pPr>
      <w:r>
        <w:t xml:space="preserve">Observation </w:t>
      </w:r>
      <w:r w:rsidR="0056204F">
        <w:t>9</w:t>
      </w:r>
      <w:r>
        <w:t xml:space="preserve">. </w:t>
      </w:r>
      <w:r w:rsidR="0056204F">
        <w:tab/>
      </w:r>
      <w:r>
        <w:t>To support diverse and intensive AI/ML operations in 6G, an enhanced AI Processing Unit (APU) framework is expected to manage both CSI and non-CSI AI workloads efficiently</w:t>
      </w:r>
    </w:p>
    <w:p w14:paraId="6920E4D2" w14:textId="77777777" w:rsidR="001A533C" w:rsidRDefault="001A533C">
      <w:pPr>
        <w:tabs>
          <w:tab w:val="left" w:pos="1843"/>
        </w:tabs>
      </w:pPr>
    </w:p>
    <w:p w14:paraId="2DF72BAD" w14:textId="77777777" w:rsidR="001A533C" w:rsidRDefault="00000000">
      <w:pPr>
        <w:tabs>
          <w:tab w:val="left" w:pos="1843"/>
        </w:tabs>
      </w:pPr>
      <w:r>
        <w:t>From the network perspective, the 6G RAN architecture and radio interface protocols are expected to be designed with AI/ML integration considerations. AI/ML technologies will play a crucial role in enabling more intelligent and higher-quality service delivery, where computing capacity at both the UE and network nodes becomes a critical factor. In other words, high-performance AI/ML-capable UEs and BSs equipped with high-performance GPUs/NPUs may be required. Furthermore, supporting new AI services, referred to as “network for AI,” is one of the key considerations. For example, in AI as a Service (</w:t>
      </w:r>
      <w:proofErr w:type="spellStart"/>
      <w:r>
        <w:t>AIaaS</w:t>
      </w:r>
      <w:proofErr w:type="spellEnd"/>
      <w:r>
        <w:t>), efficient AI computing resource allocation across BSs is essential to ensure timely task execution. This may require sharing AI computing resource status between BSs or between a BS and its management function. When AI functions at a BS serve UEs within its coverage, managing the overall AI computation load within the BS becomes an important factor. In such cases, handover for computing offload may also be considered for BSs experiencing high AI load.</w:t>
      </w:r>
    </w:p>
    <w:p w14:paraId="7E534816" w14:textId="77777777" w:rsidR="001A533C" w:rsidRDefault="001A533C">
      <w:pPr>
        <w:tabs>
          <w:tab w:val="left" w:pos="1843"/>
        </w:tabs>
      </w:pPr>
    </w:p>
    <w:p w14:paraId="5C0175B1" w14:textId="690C7A14" w:rsidR="001A533C" w:rsidRDefault="00000000" w:rsidP="0056204F">
      <w:pPr>
        <w:pStyle w:val="Style1"/>
      </w:pPr>
      <w:r>
        <w:t xml:space="preserve">Observation </w:t>
      </w:r>
      <w:r w:rsidR="0056204F">
        <w:t>10</w:t>
      </w:r>
      <w:r>
        <w:t xml:space="preserve">. </w:t>
      </w:r>
      <w:r w:rsidR="0056204F">
        <w:tab/>
      </w:r>
      <w:r>
        <w:t>Network architecture and protocols are expected to be AI-awareness, enabling dynamic resource allocation, inter-BS resource sharing, and computation load management—including potential handover for computing offload—to ensure reliable and scalable AI service delivery.</w:t>
      </w:r>
    </w:p>
    <w:p w14:paraId="3F0CF153" w14:textId="77777777" w:rsidR="001A533C" w:rsidRDefault="001A533C">
      <w:pPr>
        <w:tabs>
          <w:tab w:val="left" w:pos="1843"/>
        </w:tabs>
      </w:pPr>
    </w:p>
    <w:p w14:paraId="126E3E87" w14:textId="7328AD09" w:rsidR="001A533C" w:rsidRDefault="00000000" w:rsidP="00A63E99">
      <w:pPr>
        <w:pStyle w:val="Style1"/>
      </w:pPr>
      <w:r>
        <w:t>Proposal 7.</w:t>
      </w:r>
      <w:r>
        <w:tab/>
        <w:t>Study AI processing resource management of UE/NW to support various AI use cases and services.</w:t>
      </w:r>
    </w:p>
    <w:p w14:paraId="2A616D2D" w14:textId="77777777" w:rsidR="001A533C" w:rsidRDefault="00000000">
      <w:pPr>
        <w:pStyle w:val="Heading1"/>
      </w:pPr>
      <w:r>
        <w:t>3</w:t>
      </w:r>
      <w:r>
        <w:tab/>
        <w:t>Conclusion</w:t>
      </w:r>
    </w:p>
    <w:p w14:paraId="03A1BA11" w14:textId="598E070D" w:rsidR="00A63E99" w:rsidRPr="007922C5" w:rsidRDefault="007922C5" w:rsidP="00A63E99">
      <w:pPr>
        <w:rPr>
          <w:sz w:val="24"/>
          <w:szCs w:val="24"/>
        </w:rPr>
      </w:pPr>
      <w:r w:rsidRPr="007922C5">
        <w:rPr>
          <w:color w:val="000000" w:themeColor="text1"/>
          <w:sz w:val="24"/>
          <w:szCs w:val="24"/>
        </w:rPr>
        <w:t xml:space="preserve">1. </w:t>
      </w:r>
      <w:r>
        <w:rPr>
          <w:color w:val="000000" w:themeColor="text1"/>
          <w:sz w:val="24"/>
          <w:szCs w:val="24"/>
        </w:rPr>
        <w:tab/>
      </w:r>
      <w:r w:rsidR="00A63E99" w:rsidRPr="007922C5">
        <w:rPr>
          <w:color w:val="000000" w:themeColor="text1"/>
          <w:sz w:val="24"/>
          <w:szCs w:val="24"/>
        </w:rPr>
        <w:t>6G data transfer framework</w:t>
      </w:r>
    </w:p>
    <w:p w14:paraId="0AE1A26C" w14:textId="77777777" w:rsidR="00A63E99" w:rsidRDefault="00A63E99" w:rsidP="00A63E99"/>
    <w:p w14:paraId="1F342952" w14:textId="49231ED9" w:rsidR="00A63E99" w:rsidRPr="00A63E99" w:rsidRDefault="00A63E99" w:rsidP="00A63E99">
      <w:pPr>
        <w:rPr>
          <w:i/>
          <w:iCs/>
          <w:u w:val="single"/>
        </w:rPr>
      </w:pPr>
      <w:r w:rsidRPr="00A63E99">
        <w:rPr>
          <w:i/>
          <w:iCs/>
          <w:u w:val="single"/>
        </w:rPr>
        <w:t xml:space="preserve">Aspect of MNO controllability and visibility: </w:t>
      </w:r>
    </w:p>
    <w:p w14:paraId="2F21DFCB" w14:textId="35639D0A" w:rsidR="00A63E99" w:rsidRDefault="00A63E99" w:rsidP="00A63E99">
      <w:pPr>
        <w:tabs>
          <w:tab w:val="left" w:pos="0"/>
        </w:tabs>
        <w:ind w:left="1701" w:hanging="1701"/>
        <w:rPr>
          <w:b/>
        </w:rPr>
      </w:pPr>
      <w:r>
        <w:rPr>
          <w:b/>
        </w:rPr>
        <w:t>Observation 1.</w:t>
      </w:r>
      <w:r>
        <w:rPr>
          <w:b/>
        </w:rPr>
        <w:tab/>
      </w:r>
      <w:r w:rsidR="00DA0AD3" w:rsidRPr="00DA0AD3">
        <w:rPr>
          <w:b/>
        </w:rPr>
        <w:t xml:space="preserve">In 6G, diversified non-user data such as AI/ML, sensing, SON/MDT, and </w:t>
      </w:r>
      <w:proofErr w:type="spellStart"/>
      <w:r w:rsidR="00DA0AD3" w:rsidRPr="00DA0AD3">
        <w:rPr>
          <w:b/>
        </w:rPr>
        <w:t>QoE</w:t>
      </w:r>
      <w:proofErr w:type="spellEnd"/>
      <w:r w:rsidR="00DA0AD3" w:rsidRPr="00DA0AD3">
        <w:rPr>
          <w:b/>
        </w:rPr>
        <w:t xml:space="preserve"> require operator-level controllability and visibility across multiple termination points, but it remains unclear whether full MNO control and visibility can be achieved without or with SLA, which is primarily under the scope of SA1, SA2, and SA3</w:t>
      </w:r>
      <w:r>
        <w:rPr>
          <w:b/>
        </w:rPr>
        <w:t>.</w:t>
      </w:r>
    </w:p>
    <w:p w14:paraId="419340A5" w14:textId="77777777" w:rsidR="00A63E99" w:rsidRDefault="00A63E99" w:rsidP="00A63E99">
      <w:pPr>
        <w:tabs>
          <w:tab w:val="left" w:pos="1843"/>
        </w:tabs>
        <w:rPr>
          <w:b/>
          <w:strike/>
        </w:rPr>
      </w:pPr>
    </w:p>
    <w:p w14:paraId="4923C1DF" w14:textId="7B0E86A7" w:rsidR="00A63E99" w:rsidRPr="00A63E99" w:rsidRDefault="00A63E99" w:rsidP="00A63E99">
      <w:pPr>
        <w:rPr>
          <w:i/>
          <w:iCs/>
          <w:u w:val="single"/>
        </w:rPr>
      </w:pPr>
      <w:r w:rsidRPr="00A63E99">
        <w:rPr>
          <w:i/>
          <w:iCs/>
          <w:u w:val="single"/>
        </w:rPr>
        <w:t>Aspect of Security and privacy:</w:t>
      </w:r>
    </w:p>
    <w:p w14:paraId="3EA56CA2" w14:textId="6B8A38E9" w:rsidR="00A63E99" w:rsidRDefault="00A63E99" w:rsidP="00A63E99">
      <w:pPr>
        <w:pBdr>
          <w:top w:val="nil"/>
          <w:left w:val="nil"/>
          <w:bottom w:val="nil"/>
          <w:right w:val="nil"/>
          <w:between w:val="nil"/>
        </w:pBdr>
        <w:tabs>
          <w:tab w:val="left" w:pos="0"/>
        </w:tabs>
        <w:ind w:left="1701" w:hanging="1701"/>
        <w:rPr>
          <w:b/>
          <w:color w:val="000000"/>
        </w:rPr>
      </w:pPr>
      <w:r>
        <w:rPr>
          <w:rFonts w:eastAsia="Times New Roman"/>
          <w:b/>
          <w:color w:val="000000"/>
        </w:rPr>
        <w:t>Observation 2.</w:t>
      </w:r>
      <w:r>
        <w:rPr>
          <w:rFonts w:eastAsia="Times New Roman"/>
          <w:b/>
          <w:color w:val="000000"/>
        </w:rPr>
        <w:tab/>
      </w:r>
      <w:r w:rsidR="00DA0AD3" w:rsidRPr="00DA0AD3">
        <w:rPr>
          <w:rFonts w:eastAsia="Times New Roman"/>
          <w:b/>
          <w:color w:val="000000"/>
        </w:rPr>
        <w:t>While ensuring data security and privacy is essential for 6G non-user data transfer, potential risks—such as privacy exposure from passive sensing—require framework-level safeguards in RAN2, whereas the detailed mechanisms remain under the scope of SA3 and partly SA1</w:t>
      </w:r>
      <w:r>
        <w:rPr>
          <w:rFonts w:eastAsia="Times New Roman"/>
          <w:b/>
          <w:color w:val="000000"/>
        </w:rPr>
        <w:t xml:space="preserve">. </w:t>
      </w:r>
    </w:p>
    <w:p w14:paraId="6B455A24" w14:textId="77777777" w:rsidR="00A63E99" w:rsidRDefault="00A63E99" w:rsidP="00A63E99">
      <w:pPr>
        <w:tabs>
          <w:tab w:val="left" w:pos="1843"/>
        </w:tabs>
        <w:ind w:left="1842"/>
        <w:rPr>
          <w:b/>
        </w:rPr>
      </w:pPr>
    </w:p>
    <w:p w14:paraId="5EA0085E" w14:textId="77777777" w:rsidR="00A63E99" w:rsidRPr="00827D9C" w:rsidRDefault="00A63E99" w:rsidP="00A63E99">
      <w:pPr>
        <w:tabs>
          <w:tab w:val="left" w:pos="1843"/>
        </w:tabs>
        <w:rPr>
          <w:i/>
          <w:iCs/>
        </w:rPr>
      </w:pPr>
      <w:r w:rsidRPr="00827D9C">
        <w:rPr>
          <w:i/>
          <w:iCs/>
        </w:rPr>
        <w:t>From above observation 1 and 2, we made proposal:</w:t>
      </w:r>
    </w:p>
    <w:p w14:paraId="3D82E207" w14:textId="28E5B27A" w:rsidR="00D47415" w:rsidRPr="00C562E0" w:rsidRDefault="00A63E99" w:rsidP="00D47415">
      <w:pPr>
        <w:pBdr>
          <w:top w:val="nil"/>
          <w:left w:val="nil"/>
          <w:bottom w:val="nil"/>
          <w:right w:val="nil"/>
          <w:between w:val="nil"/>
        </w:pBdr>
        <w:tabs>
          <w:tab w:val="left" w:pos="0"/>
        </w:tabs>
        <w:ind w:left="1701" w:hanging="1701"/>
        <w:rPr>
          <w:rFonts w:eastAsia="Times New Roman"/>
          <w:b/>
          <w:color w:val="000000"/>
        </w:rPr>
      </w:pPr>
      <w:r>
        <w:rPr>
          <w:rFonts w:eastAsia="Times New Roman"/>
          <w:b/>
          <w:color w:val="000000"/>
        </w:rPr>
        <w:t>Proposal 1.</w:t>
      </w:r>
      <w:r>
        <w:rPr>
          <w:rFonts w:eastAsia="Times New Roman"/>
          <w:b/>
          <w:color w:val="000000"/>
        </w:rPr>
        <w:tab/>
      </w:r>
      <w:r w:rsidR="00D47415">
        <w:rPr>
          <w:rFonts w:eastAsia="Times New Roman"/>
          <w:b/>
          <w:color w:val="000000"/>
        </w:rPr>
        <w:t>RAN2 to defer detailed studies related to inter-WG and inter-TSG coordination — including aspects such as MNO controllability and visibility (with or without SLA) and security and privacy mechanisms — until relevant guidance becomes available from other 3GPP groups. RAN2 to monitor the progress of the following ongoing studies and align its future framework design accordingly:</w:t>
      </w:r>
    </w:p>
    <w:p w14:paraId="6125F12B" w14:textId="77777777" w:rsidR="00D47415" w:rsidRDefault="00D47415" w:rsidP="00D47415">
      <w:pPr>
        <w:pStyle w:val="ListParagraph"/>
        <w:numPr>
          <w:ilvl w:val="2"/>
          <w:numId w:val="5"/>
        </w:numPr>
        <w:pBdr>
          <w:top w:val="nil"/>
          <w:left w:val="nil"/>
          <w:bottom w:val="nil"/>
          <w:right w:val="nil"/>
          <w:between w:val="nil"/>
        </w:pBdr>
        <w:tabs>
          <w:tab w:val="left" w:pos="0"/>
        </w:tabs>
        <w:rPr>
          <w:b/>
          <w:color w:val="000000"/>
        </w:rPr>
      </w:pPr>
      <w:r w:rsidRPr="00827D9C">
        <w:rPr>
          <w:b/>
          <w:color w:val="000000"/>
        </w:rPr>
        <w:t xml:space="preserve">6G use cases and detailed requirements (e.g., </w:t>
      </w:r>
      <w:r>
        <w:rPr>
          <w:b/>
          <w:color w:val="000000"/>
        </w:rPr>
        <w:t>KPI</w:t>
      </w:r>
      <w:r w:rsidRPr="00827D9C">
        <w:rPr>
          <w:b/>
          <w:color w:val="000000"/>
        </w:rPr>
        <w:t>, QoS, etc.) from SA1</w:t>
      </w:r>
      <w:r>
        <w:rPr>
          <w:b/>
          <w:color w:val="000000"/>
        </w:rPr>
        <w:t>/RAN</w:t>
      </w:r>
      <w:r w:rsidRPr="00827D9C">
        <w:rPr>
          <w:b/>
          <w:color w:val="000000"/>
        </w:rPr>
        <w:t xml:space="preserve"> (ref: TR 22.870</w:t>
      </w:r>
      <w:r>
        <w:rPr>
          <w:b/>
          <w:color w:val="000000"/>
        </w:rPr>
        <w:t>, TR 38.914</w:t>
      </w:r>
      <w:r w:rsidRPr="00827D9C">
        <w:rPr>
          <w:b/>
          <w:color w:val="000000"/>
        </w:rPr>
        <w:t>)</w:t>
      </w:r>
      <w:r>
        <w:rPr>
          <w:b/>
          <w:color w:val="000000"/>
        </w:rPr>
        <w:t>.</w:t>
      </w:r>
    </w:p>
    <w:p w14:paraId="07A1FB88" w14:textId="77777777" w:rsidR="00D47415" w:rsidRDefault="00D47415" w:rsidP="00D47415">
      <w:pPr>
        <w:pStyle w:val="ListParagraph"/>
        <w:numPr>
          <w:ilvl w:val="2"/>
          <w:numId w:val="5"/>
        </w:numPr>
        <w:pBdr>
          <w:top w:val="nil"/>
          <w:left w:val="nil"/>
          <w:bottom w:val="nil"/>
          <w:right w:val="nil"/>
          <w:between w:val="nil"/>
        </w:pBdr>
        <w:tabs>
          <w:tab w:val="left" w:pos="0"/>
        </w:tabs>
        <w:rPr>
          <w:b/>
          <w:color w:val="000000"/>
        </w:rPr>
      </w:pPr>
      <w:r w:rsidRPr="00827D9C">
        <w:rPr>
          <w:b/>
          <w:color w:val="000000"/>
        </w:rPr>
        <w:t>6G architectural enhancement and overall procedures from SA2 (ref: TR 23.801-01)</w:t>
      </w:r>
      <w:r>
        <w:rPr>
          <w:b/>
          <w:color w:val="000000"/>
        </w:rPr>
        <w:t>.</w:t>
      </w:r>
    </w:p>
    <w:p w14:paraId="6C3B3C03" w14:textId="77777777" w:rsidR="00D47415" w:rsidRDefault="00D47415" w:rsidP="00D47415">
      <w:pPr>
        <w:pStyle w:val="ListParagraph"/>
        <w:numPr>
          <w:ilvl w:val="2"/>
          <w:numId w:val="5"/>
        </w:numPr>
        <w:pBdr>
          <w:top w:val="nil"/>
          <w:left w:val="nil"/>
          <w:bottom w:val="nil"/>
          <w:right w:val="nil"/>
          <w:between w:val="nil"/>
        </w:pBdr>
        <w:tabs>
          <w:tab w:val="left" w:pos="0"/>
        </w:tabs>
        <w:rPr>
          <w:b/>
          <w:color w:val="000000"/>
        </w:rPr>
      </w:pPr>
      <w:r w:rsidRPr="00827D9C">
        <w:rPr>
          <w:b/>
          <w:color w:val="000000"/>
        </w:rPr>
        <w:t>6G MNO controllability and visibility aspects from SA1/SA2/SA3</w:t>
      </w:r>
      <w:r>
        <w:rPr>
          <w:b/>
          <w:color w:val="000000"/>
        </w:rPr>
        <w:t>.</w:t>
      </w:r>
      <w:r w:rsidRPr="00827D9C">
        <w:rPr>
          <w:b/>
          <w:color w:val="000000"/>
        </w:rPr>
        <w:t xml:space="preserve"> </w:t>
      </w:r>
    </w:p>
    <w:p w14:paraId="377A345A" w14:textId="77777777" w:rsidR="00D47415" w:rsidRPr="00827D9C" w:rsidRDefault="00D47415" w:rsidP="00D47415">
      <w:pPr>
        <w:pStyle w:val="ListParagraph"/>
        <w:numPr>
          <w:ilvl w:val="2"/>
          <w:numId w:val="5"/>
        </w:numPr>
        <w:pBdr>
          <w:top w:val="nil"/>
          <w:left w:val="nil"/>
          <w:bottom w:val="nil"/>
          <w:right w:val="nil"/>
          <w:between w:val="nil"/>
        </w:pBdr>
        <w:tabs>
          <w:tab w:val="left" w:pos="0"/>
        </w:tabs>
        <w:rPr>
          <w:b/>
          <w:color w:val="000000"/>
        </w:rPr>
      </w:pPr>
      <w:r w:rsidRPr="00827D9C">
        <w:rPr>
          <w:b/>
          <w:color w:val="000000"/>
        </w:rPr>
        <w:t xml:space="preserve">6G user consent, privacy, security, and data governance topics from </w:t>
      </w:r>
      <w:r>
        <w:rPr>
          <w:b/>
          <w:color w:val="000000"/>
        </w:rPr>
        <w:t>SA1/</w:t>
      </w:r>
      <w:r w:rsidRPr="00827D9C">
        <w:rPr>
          <w:b/>
          <w:color w:val="000000"/>
        </w:rPr>
        <w:t>SA3.</w:t>
      </w:r>
    </w:p>
    <w:p w14:paraId="47A66F9D" w14:textId="77777777" w:rsidR="00A63E99" w:rsidRDefault="00A63E99" w:rsidP="00D47415">
      <w:pPr>
        <w:pBdr>
          <w:top w:val="nil"/>
          <w:left w:val="nil"/>
          <w:bottom w:val="nil"/>
          <w:right w:val="nil"/>
          <w:between w:val="nil"/>
        </w:pBdr>
        <w:tabs>
          <w:tab w:val="left" w:pos="0"/>
        </w:tabs>
        <w:ind w:left="1701" w:hanging="1701"/>
      </w:pPr>
    </w:p>
    <w:p w14:paraId="4954BD00" w14:textId="2E379D85" w:rsidR="00A63E99" w:rsidRPr="00A63E99" w:rsidRDefault="00A63E99" w:rsidP="00A63E99">
      <w:pPr>
        <w:rPr>
          <w:i/>
          <w:iCs/>
          <w:u w:val="single"/>
        </w:rPr>
      </w:pPr>
      <w:r w:rsidRPr="00A63E99">
        <w:rPr>
          <w:i/>
          <w:iCs/>
          <w:u w:val="single"/>
        </w:rPr>
        <w:t xml:space="preserve">Aspect of Data-type specific considerations: </w:t>
      </w:r>
    </w:p>
    <w:p w14:paraId="2A511CC6" w14:textId="7C1DA6BC" w:rsidR="00DA0AD3" w:rsidRPr="00DA0AD3" w:rsidRDefault="00A63E99" w:rsidP="00DA0AD3">
      <w:pPr>
        <w:pBdr>
          <w:top w:val="nil"/>
          <w:left w:val="nil"/>
          <w:bottom w:val="nil"/>
          <w:right w:val="nil"/>
          <w:between w:val="nil"/>
        </w:pBdr>
        <w:tabs>
          <w:tab w:val="left" w:pos="0"/>
        </w:tabs>
        <w:ind w:left="1701" w:hanging="1701"/>
        <w:rPr>
          <w:rFonts w:eastAsia="Times New Roman"/>
          <w:b/>
          <w:color w:val="000000"/>
        </w:rPr>
      </w:pPr>
      <w:r>
        <w:rPr>
          <w:rFonts w:eastAsia="Times New Roman"/>
          <w:b/>
          <w:color w:val="000000"/>
        </w:rPr>
        <w:t>Observation 3.</w:t>
      </w:r>
      <w:r>
        <w:rPr>
          <w:rFonts w:eastAsia="Times New Roman"/>
          <w:b/>
          <w:color w:val="000000"/>
        </w:rPr>
        <w:tab/>
      </w:r>
      <w:r w:rsidR="00DA0AD3" w:rsidRPr="00DA0AD3">
        <w:rPr>
          <w:rFonts w:eastAsia="Times New Roman"/>
          <w:b/>
          <w:color w:val="000000"/>
        </w:rPr>
        <w:t xml:space="preserve">Non-user data (such as AI/ML, sensing, SON/MDT, and </w:t>
      </w:r>
      <w:proofErr w:type="spellStart"/>
      <w:r w:rsidR="00DA0AD3" w:rsidRPr="00DA0AD3">
        <w:rPr>
          <w:rFonts w:eastAsia="Times New Roman"/>
          <w:b/>
          <w:color w:val="000000"/>
        </w:rPr>
        <w:t>QoE</w:t>
      </w:r>
      <w:proofErr w:type="spellEnd"/>
      <w:r w:rsidR="00DA0AD3" w:rsidRPr="00DA0AD3">
        <w:rPr>
          <w:rFonts w:eastAsia="Times New Roman"/>
          <w:b/>
          <w:color w:val="000000"/>
        </w:rPr>
        <w:t>) exhibit diverse data types and sizes, involve multiple producer–consumer terminations, and require various latency levels, as presented in Table</w:t>
      </w:r>
      <w:r w:rsidR="005D01C2">
        <w:rPr>
          <w:rFonts w:eastAsia="Times New Roman"/>
          <w:b/>
          <w:color w:val="000000"/>
        </w:rPr>
        <w:t xml:space="preserve"> </w:t>
      </w:r>
      <w:r w:rsidR="00DA0AD3" w:rsidRPr="00DA0AD3">
        <w:rPr>
          <w:rFonts w:eastAsia="Times New Roman"/>
          <w:b/>
          <w:color w:val="000000"/>
        </w:rPr>
        <w:t>1</w:t>
      </w:r>
      <w:r w:rsidR="00DA0AD3">
        <w:rPr>
          <w:rFonts w:eastAsia="Times New Roman"/>
          <w:b/>
          <w:color w:val="000000"/>
        </w:rPr>
        <w:t>.</w:t>
      </w:r>
    </w:p>
    <w:p w14:paraId="3E093899" w14:textId="77777777" w:rsidR="00D47415" w:rsidRDefault="00D47415" w:rsidP="00D47415">
      <w:pPr>
        <w:jc w:val="center"/>
        <w:rPr>
          <w:b/>
        </w:rPr>
      </w:pPr>
      <w:r>
        <w:rPr>
          <w:b/>
        </w:rPr>
        <w:t>&lt;Table 1. Simplified characteristics of non-user data&gt;</w:t>
      </w:r>
    </w:p>
    <w:tbl>
      <w:tblPr>
        <w:tblStyle w:val="a0"/>
        <w:tblW w:w="1036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86"/>
        <w:gridCol w:w="1707"/>
        <w:gridCol w:w="1442"/>
        <w:gridCol w:w="1609"/>
        <w:gridCol w:w="1417"/>
        <w:gridCol w:w="1701"/>
        <w:gridCol w:w="1303"/>
      </w:tblGrid>
      <w:tr w:rsidR="00D47415" w14:paraId="6CF98877" w14:textId="77777777" w:rsidTr="00283B9D">
        <w:tc>
          <w:tcPr>
            <w:tcW w:w="1186" w:type="dxa"/>
            <w:shd w:val="clear" w:color="auto" w:fill="D9D9D9"/>
            <w:tcMar>
              <w:top w:w="100" w:type="dxa"/>
              <w:left w:w="100" w:type="dxa"/>
              <w:bottom w:w="100" w:type="dxa"/>
              <w:right w:w="100" w:type="dxa"/>
            </w:tcMar>
          </w:tcPr>
          <w:p w14:paraId="02CD1DDA" w14:textId="77777777" w:rsidR="00D47415" w:rsidRDefault="00D47415" w:rsidP="00283B9D">
            <w:pPr>
              <w:widowControl w:val="0"/>
            </w:pPr>
            <w:r>
              <w:t>Service</w:t>
            </w:r>
          </w:p>
        </w:tc>
        <w:tc>
          <w:tcPr>
            <w:tcW w:w="1707" w:type="dxa"/>
            <w:shd w:val="clear" w:color="auto" w:fill="D9D9D9"/>
            <w:tcMar>
              <w:top w:w="100" w:type="dxa"/>
              <w:left w:w="100" w:type="dxa"/>
              <w:bottom w:w="100" w:type="dxa"/>
              <w:right w:w="100" w:type="dxa"/>
            </w:tcMar>
          </w:tcPr>
          <w:p w14:paraId="11FEE6A0" w14:textId="77777777" w:rsidR="00D47415" w:rsidRDefault="00D47415" w:rsidP="00283B9D">
            <w:pPr>
              <w:widowControl w:val="0"/>
            </w:pPr>
            <w:r>
              <w:t>Data Type</w:t>
            </w:r>
          </w:p>
        </w:tc>
        <w:tc>
          <w:tcPr>
            <w:tcW w:w="1442" w:type="dxa"/>
            <w:shd w:val="clear" w:color="auto" w:fill="D9D9D9"/>
            <w:tcMar>
              <w:top w:w="100" w:type="dxa"/>
              <w:left w:w="100" w:type="dxa"/>
              <w:bottom w:w="100" w:type="dxa"/>
              <w:right w:w="100" w:type="dxa"/>
            </w:tcMar>
          </w:tcPr>
          <w:p w14:paraId="7AE244F7" w14:textId="77777777" w:rsidR="00D47415" w:rsidRDefault="00D47415" w:rsidP="00283B9D">
            <w:pPr>
              <w:widowControl w:val="0"/>
            </w:pPr>
            <w:r>
              <w:t>Data Size</w:t>
            </w:r>
          </w:p>
        </w:tc>
        <w:tc>
          <w:tcPr>
            <w:tcW w:w="1609" w:type="dxa"/>
            <w:shd w:val="clear" w:color="auto" w:fill="D9D9D9"/>
            <w:tcMar>
              <w:top w:w="100" w:type="dxa"/>
              <w:left w:w="100" w:type="dxa"/>
              <w:bottom w:w="100" w:type="dxa"/>
              <w:right w:w="100" w:type="dxa"/>
            </w:tcMar>
          </w:tcPr>
          <w:p w14:paraId="557CBB74" w14:textId="77777777" w:rsidR="00D47415" w:rsidRDefault="00D47415" w:rsidP="00283B9D">
            <w:pPr>
              <w:widowControl w:val="0"/>
            </w:pPr>
            <w:r>
              <w:t>Latency</w:t>
            </w:r>
          </w:p>
        </w:tc>
        <w:tc>
          <w:tcPr>
            <w:tcW w:w="1417" w:type="dxa"/>
            <w:shd w:val="clear" w:color="auto" w:fill="D9D9D9"/>
            <w:tcMar>
              <w:top w:w="100" w:type="dxa"/>
              <w:left w:w="100" w:type="dxa"/>
              <w:bottom w:w="100" w:type="dxa"/>
              <w:right w:w="100" w:type="dxa"/>
            </w:tcMar>
          </w:tcPr>
          <w:p w14:paraId="2D30376B" w14:textId="77777777" w:rsidR="00D47415" w:rsidRDefault="00D47415" w:rsidP="00283B9D">
            <w:pPr>
              <w:widowControl w:val="0"/>
            </w:pPr>
            <w:r>
              <w:t>Producer</w:t>
            </w:r>
          </w:p>
        </w:tc>
        <w:tc>
          <w:tcPr>
            <w:tcW w:w="1701" w:type="dxa"/>
            <w:shd w:val="clear" w:color="auto" w:fill="D9D9D9"/>
            <w:tcMar>
              <w:top w:w="100" w:type="dxa"/>
              <w:left w:w="100" w:type="dxa"/>
              <w:bottom w:w="100" w:type="dxa"/>
              <w:right w:w="100" w:type="dxa"/>
            </w:tcMar>
          </w:tcPr>
          <w:p w14:paraId="2DCADB64" w14:textId="77777777" w:rsidR="00D47415" w:rsidRDefault="00D47415" w:rsidP="00283B9D">
            <w:pPr>
              <w:widowControl w:val="0"/>
            </w:pPr>
            <w:r>
              <w:t>Consumer</w:t>
            </w:r>
          </w:p>
        </w:tc>
        <w:tc>
          <w:tcPr>
            <w:tcW w:w="1303" w:type="dxa"/>
            <w:shd w:val="clear" w:color="auto" w:fill="D9D9D9"/>
            <w:tcMar>
              <w:top w:w="100" w:type="dxa"/>
              <w:left w:w="100" w:type="dxa"/>
              <w:bottom w:w="100" w:type="dxa"/>
              <w:right w:w="100" w:type="dxa"/>
            </w:tcMar>
          </w:tcPr>
          <w:p w14:paraId="5A4F44CC" w14:textId="77777777" w:rsidR="00D47415" w:rsidRDefault="00D47415" w:rsidP="00283B9D">
            <w:pPr>
              <w:widowControl w:val="0"/>
            </w:pPr>
            <w:r>
              <w:t>Protocol</w:t>
            </w:r>
          </w:p>
        </w:tc>
      </w:tr>
      <w:tr w:rsidR="00D47415" w14:paraId="3869E800" w14:textId="77777777" w:rsidTr="00283B9D">
        <w:tc>
          <w:tcPr>
            <w:tcW w:w="1186" w:type="dxa"/>
            <w:tcMar>
              <w:top w:w="100" w:type="dxa"/>
              <w:left w:w="100" w:type="dxa"/>
              <w:bottom w:w="100" w:type="dxa"/>
              <w:right w:w="100" w:type="dxa"/>
            </w:tcMar>
          </w:tcPr>
          <w:p w14:paraId="171E09DF" w14:textId="77777777" w:rsidR="00D47415" w:rsidRDefault="00D47415" w:rsidP="00283B9D">
            <w:pPr>
              <w:widowControl w:val="0"/>
            </w:pPr>
            <w:r>
              <w:t xml:space="preserve">AI/ML </w:t>
            </w:r>
          </w:p>
        </w:tc>
        <w:tc>
          <w:tcPr>
            <w:tcW w:w="1707" w:type="dxa"/>
            <w:tcMar>
              <w:top w:w="100" w:type="dxa"/>
              <w:left w:w="100" w:type="dxa"/>
              <w:bottom w:w="100" w:type="dxa"/>
              <w:right w:w="100" w:type="dxa"/>
            </w:tcMar>
          </w:tcPr>
          <w:p w14:paraId="766D75D8" w14:textId="77777777" w:rsidR="00D47415" w:rsidRDefault="00D47415" w:rsidP="00283B9D">
            <w:pPr>
              <w:widowControl w:val="0"/>
            </w:pPr>
            <w:r>
              <w:t xml:space="preserve">Various </w:t>
            </w:r>
          </w:p>
          <w:p w14:paraId="604EC465" w14:textId="77777777" w:rsidR="00D47415" w:rsidRDefault="00D47415" w:rsidP="00283B9D">
            <w:pPr>
              <w:widowControl w:val="0"/>
            </w:pPr>
            <w:r>
              <w:t>(training datasets, inference results, monitoring feedback, model transfer/delivery)</w:t>
            </w:r>
          </w:p>
        </w:tc>
        <w:tc>
          <w:tcPr>
            <w:tcW w:w="1442" w:type="dxa"/>
            <w:tcMar>
              <w:top w:w="100" w:type="dxa"/>
              <w:left w:w="100" w:type="dxa"/>
              <w:bottom w:w="100" w:type="dxa"/>
              <w:right w:w="100" w:type="dxa"/>
            </w:tcMar>
          </w:tcPr>
          <w:p w14:paraId="48D14A4E" w14:textId="77777777" w:rsidR="00D47415" w:rsidRDefault="00D47415" w:rsidP="00283B9D">
            <w:pPr>
              <w:widowControl w:val="0"/>
            </w:pPr>
            <w:r>
              <w:t>Diverse</w:t>
            </w:r>
          </w:p>
          <w:p w14:paraId="201C7698" w14:textId="77777777" w:rsidR="00D47415" w:rsidRDefault="00D47415" w:rsidP="00283B9D">
            <w:pPr>
              <w:widowControl w:val="0"/>
            </w:pPr>
            <w:r>
              <w:t>(few kB ~ MB/GB)</w:t>
            </w:r>
          </w:p>
        </w:tc>
        <w:tc>
          <w:tcPr>
            <w:tcW w:w="1609" w:type="dxa"/>
            <w:tcMar>
              <w:top w:w="100" w:type="dxa"/>
              <w:left w:w="100" w:type="dxa"/>
              <w:bottom w:w="100" w:type="dxa"/>
              <w:right w:w="100" w:type="dxa"/>
            </w:tcMar>
          </w:tcPr>
          <w:p w14:paraId="7EFE5A0A" w14:textId="77777777" w:rsidR="00D47415" w:rsidRDefault="00D47415" w:rsidP="00283B9D">
            <w:pPr>
              <w:widowControl w:val="0"/>
            </w:pPr>
            <w:r>
              <w:t>Diverse</w:t>
            </w:r>
          </w:p>
          <w:p w14:paraId="7ED13401" w14:textId="77777777" w:rsidR="00D47415" w:rsidRDefault="00D47415" w:rsidP="00283B9D">
            <w:pPr>
              <w:widowControl w:val="0"/>
            </w:pPr>
            <w:r>
              <w:t>(Low latency ~ Relaxed)</w:t>
            </w:r>
          </w:p>
        </w:tc>
        <w:tc>
          <w:tcPr>
            <w:tcW w:w="1417" w:type="dxa"/>
            <w:tcMar>
              <w:top w:w="100" w:type="dxa"/>
              <w:left w:w="100" w:type="dxa"/>
              <w:bottom w:w="100" w:type="dxa"/>
              <w:right w:w="100" w:type="dxa"/>
            </w:tcMar>
          </w:tcPr>
          <w:p w14:paraId="3AC50CAA" w14:textId="77777777" w:rsidR="00D47415" w:rsidRDefault="00D47415" w:rsidP="00283B9D">
            <w:pPr>
              <w:widowControl w:val="0"/>
            </w:pPr>
            <w:r>
              <w:t>UE/RAN</w:t>
            </w:r>
          </w:p>
        </w:tc>
        <w:tc>
          <w:tcPr>
            <w:tcW w:w="1701" w:type="dxa"/>
            <w:tcMar>
              <w:top w:w="100" w:type="dxa"/>
              <w:left w:w="100" w:type="dxa"/>
              <w:bottom w:w="100" w:type="dxa"/>
              <w:right w:w="100" w:type="dxa"/>
            </w:tcMar>
          </w:tcPr>
          <w:p w14:paraId="3483AACD" w14:textId="77777777" w:rsidR="00D47415" w:rsidRDefault="00D47415" w:rsidP="00283B9D">
            <w:pPr>
              <w:widowControl w:val="0"/>
            </w:pPr>
            <w:r w:rsidRPr="00DA0AD3">
              <w:t>UE, RAN, CN, UE-side server, OAM</w:t>
            </w:r>
          </w:p>
        </w:tc>
        <w:tc>
          <w:tcPr>
            <w:tcW w:w="1303" w:type="dxa"/>
            <w:tcMar>
              <w:top w:w="100" w:type="dxa"/>
              <w:left w:w="100" w:type="dxa"/>
              <w:bottom w:w="100" w:type="dxa"/>
              <w:right w:w="100" w:type="dxa"/>
            </w:tcMar>
          </w:tcPr>
          <w:p w14:paraId="3A3C5A88" w14:textId="77777777" w:rsidR="00D47415" w:rsidRDefault="00D47415" w:rsidP="00283B9D">
            <w:pPr>
              <w:widowControl w:val="0"/>
            </w:pPr>
            <w:r>
              <w:t>Non-IP and IP</w:t>
            </w:r>
          </w:p>
        </w:tc>
      </w:tr>
      <w:tr w:rsidR="00D47415" w14:paraId="3AA6103F" w14:textId="77777777" w:rsidTr="00283B9D">
        <w:tc>
          <w:tcPr>
            <w:tcW w:w="1186" w:type="dxa"/>
            <w:tcMar>
              <w:top w:w="100" w:type="dxa"/>
              <w:left w:w="100" w:type="dxa"/>
              <w:bottom w:w="100" w:type="dxa"/>
              <w:right w:w="100" w:type="dxa"/>
            </w:tcMar>
          </w:tcPr>
          <w:p w14:paraId="51F6249C" w14:textId="77777777" w:rsidR="00D47415" w:rsidRDefault="00D47415" w:rsidP="00283B9D">
            <w:pPr>
              <w:widowControl w:val="0"/>
            </w:pPr>
            <w:r>
              <w:lastRenderedPageBreak/>
              <w:t>Sensing (ISAC)</w:t>
            </w:r>
          </w:p>
        </w:tc>
        <w:tc>
          <w:tcPr>
            <w:tcW w:w="1707" w:type="dxa"/>
            <w:tcMar>
              <w:top w:w="100" w:type="dxa"/>
              <w:left w:w="100" w:type="dxa"/>
              <w:bottom w:w="100" w:type="dxa"/>
              <w:right w:w="100" w:type="dxa"/>
            </w:tcMar>
          </w:tcPr>
          <w:p w14:paraId="6AE761FD" w14:textId="77777777" w:rsidR="00D47415" w:rsidRDefault="00D47415" w:rsidP="00283B9D">
            <w:pPr>
              <w:widowControl w:val="0"/>
            </w:pPr>
            <w:r>
              <w:t xml:space="preserve">Various </w:t>
            </w:r>
            <w:r>
              <w:br/>
              <w:t>(3GPP and non-3GPP)</w:t>
            </w:r>
          </w:p>
        </w:tc>
        <w:tc>
          <w:tcPr>
            <w:tcW w:w="1442" w:type="dxa"/>
            <w:tcMar>
              <w:top w:w="100" w:type="dxa"/>
              <w:left w:w="100" w:type="dxa"/>
              <w:bottom w:w="100" w:type="dxa"/>
              <w:right w:w="100" w:type="dxa"/>
            </w:tcMar>
          </w:tcPr>
          <w:p w14:paraId="49A727A3" w14:textId="77777777" w:rsidR="00D47415" w:rsidRDefault="00D47415" w:rsidP="00283B9D">
            <w:pPr>
              <w:widowControl w:val="0"/>
            </w:pPr>
            <w:r>
              <w:t>Diverse</w:t>
            </w:r>
          </w:p>
          <w:p w14:paraId="2CA8744E" w14:textId="77777777" w:rsidR="00D47415" w:rsidRDefault="00D47415" w:rsidP="00283B9D">
            <w:pPr>
              <w:widowControl w:val="0"/>
            </w:pPr>
            <w:r>
              <w:t>(few kB ~ MB/GB)</w:t>
            </w:r>
          </w:p>
        </w:tc>
        <w:tc>
          <w:tcPr>
            <w:tcW w:w="1609" w:type="dxa"/>
            <w:tcMar>
              <w:top w:w="100" w:type="dxa"/>
              <w:left w:w="100" w:type="dxa"/>
              <w:bottom w:w="100" w:type="dxa"/>
              <w:right w:w="100" w:type="dxa"/>
            </w:tcMar>
          </w:tcPr>
          <w:p w14:paraId="558290E1" w14:textId="77777777" w:rsidR="00D47415" w:rsidRDefault="00D47415" w:rsidP="00283B9D">
            <w:pPr>
              <w:widowControl w:val="0"/>
            </w:pPr>
            <w:r w:rsidRPr="00286BE3">
              <w:t xml:space="preserve">Diverse </w:t>
            </w:r>
          </w:p>
          <w:p w14:paraId="0CFCD897" w14:textId="77777777" w:rsidR="00D47415" w:rsidRDefault="00D47415" w:rsidP="00283B9D">
            <w:pPr>
              <w:widowControl w:val="0"/>
            </w:pPr>
            <w:r w:rsidRPr="00286BE3">
              <w:t>(Real-time ~ Relaxed)</w:t>
            </w:r>
          </w:p>
        </w:tc>
        <w:tc>
          <w:tcPr>
            <w:tcW w:w="1417" w:type="dxa"/>
            <w:tcMar>
              <w:top w:w="100" w:type="dxa"/>
              <w:left w:w="100" w:type="dxa"/>
              <w:bottom w:w="100" w:type="dxa"/>
              <w:right w:w="100" w:type="dxa"/>
            </w:tcMar>
          </w:tcPr>
          <w:p w14:paraId="5B0DCBF5" w14:textId="77777777" w:rsidR="00D47415" w:rsidRDefault="00D47415" w:rsidP="00283B9D">
            <w:pPr>
              <w:widowControl w:val="0"/>
            </w:pPr>
            <w:r>
              <w:t>UE/RAN</w:t>
            </w:r>
          </w:p>
        </w:tc>
        <w:tc>
          <w:tcPr>
            <w:tcW w:w="1701" w:type="dxa"/>
            <w:tcMar>
              <w:top w:w="100" w:type="dxa"/>
              <w:left w:w="100" w:type="dxa"/>
              <w:bottom w:w="100" w:type="dxa"/>
              <w:right w:w="100" w:type="dxa"/>
            </w:tcMar>
          </w:tcPr>
          <w:p w14:paraId="3B564B33" w14:textId="77777777" w:rsidR="00D47415" w:rsidRDefault="00D47415" w:rsidP="00283B9D">
            <w:pPr>
              <w:widowControl w:val="0"/>
            </w:pPr>
            <w:r>
              <w:t>UE, RAN, CN, external servers (e.g., 3rd party application server)</w:t>
            </w:r>
          </w:p>
        </w:tc>
        <w:tc>
          <w:tcPr>
            <w:tcW w:w="1303" w:type="dxa"/>
            <w:tcMar>
              <w:top w:w="100" w:type="dxa"/>
              <w:left w:w="100" w:type="dxa"/>
              <w:bottom w:w="100" w:type="dxa"/>
              <w:right w:w="100" w:type="dxa"/>
            </w:tcMar>
          </w:tcPr>
          <w:p w14:paraId="788FAB28" w14:textId="77777777" w:rsidR="00D47415" w:rsidRDefault="00D47415" w:rsidP="00283B9D">
            <w:pPr>
              <w:widowControl w:val="0"/>
            </w:pPr>
            <w:r>
              <w:t>Non-IP and IP</w:t>
            </w:r>
          </w:p>
        </w:tc>
      </w:tr>
      <w:tr w:rsidR="00D47415" w14:paraId="3DB430F9" w14:textId="77777777" w:rsidTr="00283B9D">
        <w:tc>
          <w:tcPr>
            <w:tcW w:w="1186" w:type="dxa"/>
            <w:tcMar>
              <w:top w:w="100" w:type="dxa"/>
              <w:left w:w="100" w:type="dxa"/>
              <w:bottom w:w="100" w:type="dxa"/>
              <w:right w:w="100" w:type="dxa"/>
            </w:tcMar>
          </w:tcPr>
          <w:p w14:paraId="0FCA1E53" w14:textId="77777777" w:rsidR="00D47415" w:rsidRDefault="00D47415" w:rsidP="00283B9D">
            <w:pPr>
              <w:widowControl w:val="0"/>
            </w:pPr>
            <w:r>
              <w:t>SON/MDT</w:t>
            </w:r>
          </w:p>
        </w:tc>
        <w:tc>
          <w:tcPr>
            <w:tcW w:w="1707" w:type="dxa"/>
            <w:tcMar>
              <w:top w:w="100" w:type="dxa"/>
              <w:left w:w="100" w:type="dxa"/>
              <w:bottom w:w="100" w:type="dxa"/>
              <w:right w:w="100" w:type="dxa"/>
            </w:tcMar>
          </w:tcPr>
          <w:p w14:paraId="57FA1D09" w14:textId="77777777" w:rsidR="00D47415" w:rsidRDefault="00D47415" w:rsidP="00283B9D">
            <w:pPr>
              <w:widowControl w:val="0"/>
            </w:pPr>
            <w:r>
              <w:t>Network performance metrics</w:t>
            </w:r>
          </w:p>
        </w:tc>
        <w:tc>
          <w:tcPr>
            <w:tcW w:w="1442" w:type="dxa"/>
            <w:tcMar>
              <w:top w:w="100" w:type="dxa"/>
              <w:left w:w="100" w:type="dxa"/>
              <w:bottom w:w="100" w:type="dxa"/>
              <w:right w:w="100" w:type="dxa"/>
            </w:tcMar>
          </w:tcPr>
          <w:p w14:paraId="3138B5AA" w14:textId="77777777" w:rsidR="00D47415" w:rsidRDefault="00D47415" w:rsidP="00283B9D">
            <w:pPr>
              <w:widowControl w:val="0"/>
            </w:pPr>
            <w:r>
              <w:t>Small</w:t>
            </w:r>
          </w:p>
        </w:tc>
        <w:tc>
          <w:tcPr>
            <w:tcW w:w="1609" w:type="dxa"/>
            <w:tcMar>
              <w:top w:w="100" w:type="dxa"/>
              <w:left w:w="100" w:type="dxa"/>
              <w:bottom w:w="100" w:type="dxa"/>
              <w:right w:w="100" w:type="dxa"/>
            </w:tcMar>
          </w:tcPr>
          <w:p w14:paraId="679E1AF7" w14:textId="409B4E21" w:rsidR="00D47415" w:rsidRDefault="00D47415" w:rsidP="00283B9D">
            <w:pPr>
              <w:widowControl w:val="0"/>
            </w:pPr>
            <w:r w:rsidRPr="00F11495">
              <w:t xml:space="preserve">Diverse (Medium </w:t>
            </w:r>
            <w:r>
              <w:t xml:space="preserve">latency </w:t>
            </w:r>
            <w:r w:rsidR="00836597">
              <w:rPr>
                <w:rFonts w:hint="eastAsia"/>
              </w:rPr>
              <w:t>~</w:t>
            </w:r>
            <w:r w:rsidRPr="00F11495">
              <w:t xml:space="preserve"> Relaxed)</w:t>
            </w:r>
          </w:p>
        </w:tc>
        <w:tc>
          <w:tcPr>
            <w:tcW w:w="1417" w:type="dxa"/>
            <w:tcMar>
              <w:top w:w="100" w:type="dxa"/>
              <w:left w:w="100" w:type="dxa"/>
              <w:bottom w:w="100" w:type="dxa"/>
              <w:right w:w="100" w:type="dxa"/>
            </w:tcMar>
          </w:tcPr>
          <w:p w14:paraId="377D5843" w14:textId="77777777" w:rsidR="00D47415" w:rsidRDefault="00D47415" w:rsidP="00283B9D">
            <w:r>
              <w:t>UE</w:t>
            </w:r>
          </w:p>
        </w:tc>
        <w:tc>
          <w:tcPr>
            <w:tcW w:w="1701" w:type="dxa"/>
            <w:tcMar>
              <w:top w:w="100" w:type="dxa"/>
              <w:left w:w="100" w:type="dxa"/>
              <w:bottom w:w="100" w:type="dxa"/>
              <w:right w:w="100" w:type="dxa"/>
            </w:tcMar>
          </w:tcPr>
          <w:p w14:paraId="5EAFD6B5" w14:textId="77777777" w:rsidR="00D47415" w:rsidRDefault="00D47415" w:rsidP="00283B9D">
            <w:pPr>
              <w:widowControl w:val="0"/>
            </w:pPr>
            <w:r>
              <w:t>RAN, OAM</w:t>
            </w:r>
          </w:p>
        </w:tc>
        <w:tc>
          <w:tcPr>
            <w:tcW w:w="1303" w:type="dxa"/>
            <w:tcMar>
              <w:top w:w="100" w:type="dxa"/>
              <w:left w:w="100" w:type="dxa"/>
              <w:bottom w:w="100" w:type="dxa"/>
              <w:right w:w="100" w:type="dxa"/>
            </w:tcMar>
          </w:tcPr>
          <w:p w14:paraId="1ACCCBD3" w14:textId="77777777" w:rsidR="00D47415" w:rsidRDefault="00D47415" w:rsidP="00283B9D">
            <w:pPr>
              <w:widowControl w:val="0"/>
            </w:pPr>
            <w:r>
              <w:t>Non-IP (RRC)</w:t>
            </w:r>
          </w:p>
        </w:tc>
      </w:tr>
      <w:tr w:rsidR="00D47415" w14:paraId="106FE242" w14:textId="77777777" w:rsidTr="00283B9D">
        <w:tc>
          <w:tcPr>
            <w:tcW w:w="1186" w:type="dxa"/>
            <w:tcMar>
              <w:top w:w="100" w:type="dxa"/>
              <w:left w:w="100" w:type="dxa"/>
              <w:bottom w:w="100" w:type="dxa"/>
              <w:right w:w="100" w:type="dxa"/>
            </w:tcMar>
          </w:tcPr>
          <w:p w14:paraId="44C799B2" w14:textId="77777777" w:rsidR="00D47415" w:rsidRDefault="00D47415" w:rsidP="00283B9D">
            <w:pPr>
              <w:widowControl w:val="0"/>
            </w:pPr>
            <w:proofErr w:type="spellStart"/>
            <w:r>
              <w:t>QoE</w:t>
            </w:r>
            <w:proofErr w:type="spellEnd"/>
          </w:p>
        </w:tc>
        <w:tc>
          <w:tcPr>
            <w:tcW w:w="1707" w:type="dxa"/>
            <w:tcMar>
              <w:top w:w="100" w:type="dxa"/>
              <w:left w:w="100" w:type="dxa"/>
              <w:bottom w:w="100" w:type="dxa"/>
              <w:right w:w="100" w:type="dxa"/>
            </w:tcMar>
          </w:tcPr>
          <w:p w14:paraId="38602851" w14:textId="77777777" w:rsidR="00D47415" w:rsidRDefault="00D47415" w:rsidP="00283B9D">
            <w:pPr>
              <w:widowControl w:val="0"/>
            </w:pPr>
            <w:r>
              <w:t>User experience metrics</w:t>
            </w:r>
          </w:p>
        </w:tc>
        <w:tc>
          <w:tcPr>
            <w:tcW w:w="1442" w:type="dxa"/>
            <w:tcMar>
              <w:top w:w="100" w:type="dxa"/>
              <w:left w:w="100" w:type="dxa"/>
              <w:bottom w:w="100" w:type="dxa"/>
              <w:right w:w="100" w:type="dxa"/>
            </w:tcMar>
          </w:tcPr>
          <w:p w14:paraId="5BF77F6B" w14:textId="77777777" w:rsidR="00D47415" w:rsidRDefault="00D47415" w:rsidP="00283B9D">
            <w:pPr>
              <w:widowControl w:val="0"/>
            </w:pPr>
            <w:r>
              <w:t>Small</w:t>
            </w:r>
          </w:p>
        </w:tc>
        <w:tc>
          <w:tcPr>
            <w:tcW w:w="1609" w:type="dxa"/>
            <w:tcMar>
              <w:top w:w="100" w:type="dxa"/>
              <w:left w:w="100" w:type="dxa"/>
              <w:bottom w:w="100" w:type="dxa"/>
              <w:right w:w="100" w:type="dxa"/>
            </w:tcMar>
          </w:tcPr>
          <w:p w14:paraId="40E01D76" w14:textId="77777777" w:rsidR="00D47415" w:rsidRDefault="00D47415" w:rsidP="00283B9D">
            <w:pPr>
              <w:widowControl w:val="0"/>
            </w:pPr>
            <w:r>
              <w:t>Diverse (Medium latency ~ Relaxed)</w:t>
            </w:r>
          </w:p>
        </w:tc>
        <w:tc>
          <w:tcPr>
            <w:tcW w:w="1417" w:type="dxa"/>
            <w:tcMar>
              <w:top w:w="100" w:type="dxa"/>
              <w:left w:w="100" w:type="dxa"/>
              <w:bottom w:w="100" w:type="dxa"/>
              <w:right w:w="100" w:type="dxa"/>
            </w:tcMar>
          </w:tcPr>
          <w:p w14:paraId="70D71FCA" w14:textId="77777777" w:rsidR="00D47415" w:rsidRDefault="00D47415" w:rsidP="00283B9D">
            <w:r>
              <w:t>UE</w:t>
            </w:r>
          </w:p>
        </w:tc>
        <w:tc>
          <w:tcPr>
            <w:tcW w:w="1701" w:type="dxa"/>
            <w:tcMar>
              <w:top w:w="100" w:type="dxa"/>
              <w:left w:w="100" w:type="dxa"/>
              <w:bottom w:w="100" w:type="dxa"/>
              <w:right w:w="100" w:type="dxa"/>
            </w:tcMar>
          </w:tcPr>
          <w:p w14:paraId="07EB861E" w14:textId="77777777" w:rsidR="00D47415" w:rsidRDefault="00D47415" w:rsidP="00283B9D">
            <w:pPr>
              <w:widowControl w:val="0"/>
            </w:pPr>
            <w:r>
              <w:t>CN (</w:t>
            </w:r>
            <w:proofErr w:type="spellStart"/>
            <w:r>
              <w:t>QoE</w:t>
            </w:r>
            <w:proofErr w:type="spellEnd"/>
            <w:r>
              <w:t xml:space="preserve"> Server), RAN</w:t>
            </w:r>
          </w:p>
        </w:tc>
        <w:tc>
          <w:tcPr>
            <w:tcW w:w="1303" w:type="dxa"/>
            <w:tcMar>
              <w:top w:w="100" w:type="dxa"/>
              <w:left w:w="100" w:type="dxa"/>
              <w:bottom w:w="100" w:type="dxa"/>
              <w:right w:w="100" w:type="dxa"/>
            </w:tcMar>
          </w:tcPr>
          <w:p w14:paraId="7184D86E" w14:textId="77777777" w:rsidR="00D47415" w:rsidRDefault="00D47415" w:rsidP="00283B9D">
            <w:pPr>
              <w:widowControl w:val="0"/>
            </w:pPr>
            <w:r>
              <w:t>Non-IP (RRC)</w:t>
            </w:r>
          </w:p>
        </w:tc>
      </w:tr>
    </w:tbl>
    <w:p w14:paraId="2F47BFD7" w14:textId="77777777" w:rsidR="00D47415" w:rsidRDefault="00D47415" w:rsidP="00D47415"/>
    <w:p w14:paraId="5974EFC1" w14:textId="07CFB05C" w:rsidR="00A63E99" w:rsidRPr="00A63E99" w:rsidRDefault="00A63E99" w:rsidP="00A63E99">
      <w:pPr>
        <w:tabs>
          <w:tab w:val="left" w:pos="1843"/>
        </w:tabs>
        <w:rPr>
          <w:i/>
          <w:iCs/>
        </w:rPr>
      </w:pPr>
      <w:r w:rsidRPr="00827D9C">
        <w:rPr>
          <w:i/>
          <w:iCs/>
        </w:rPr>
        <w:t xml:space="preserve">From above observation </w:t>
      </w:r>
      <w:r>
        <w:rPr>
          <w:i/>
          <w:iCs/>
        </w:rPr>
        <w:t>3</w:t>
      </w:r>
      <w:r w:rsidRPr="00827D9C">
        <w:rPr>
          <w:i/>
          <w:iCs/>
        </w:rPr>
        <w:t>, we made proposal:</w:t>
      </w:r>
    </w:p>
    <w:p w14:paraId="39076AE0" w14:textId="4732E982" w:rsidR="00A63E99" w:rsidRDefault="00A63E99" w:rsidP="00A63E99">
      <w:pPr>
        <w:pBdr>
          <w:top w:val="nil"/>
          <w:left w:val="nil"/>
          <w:bottom w:val="nil"/>
          <w:right w:val="nil"/>
          <w:between w:val="nil"/>
        </w:pBdr>
        <w:tabs>
          <w:tab w:val="left" w:pos="0"/>
        </w:tabs>
        <w:ind w:left="1701" w:hanging="1701"/>
        <w:rPr>
          <w:b/>
          <w:color w:val="000000"/>
        </w:rPr>
      </w:pPr>
      <w:r>
        <w:rPr>
          <w:rFonts w:eastAsia="Times New Roman"/>
          <w:b/>
          <w:color w:val="000000"/>
        </w:rPr>
        <w:t xml:space="preserve">Proposal </w:t>
      </w:r>
      <w:r>
        <w:rPr>
          <w:b/>
        </w:rPr>
        <w:t>2</w:t>
      </w:r>
      <w:r>
        <w:rPr>
          <w:rFonts w:eastAsia="Times New Roman"/>
          <w:b/>
          <w:color w:val="000000"/>
        </w:rPr>
        <w:t>.</w:t>
      </w:r>
      <w:r>
        <w:rPr>
          <w:rFonts w:eastAsia="Times New Roman"/>
          <w:b/>
          <w:color w:val="000000"/>
        </w:rPr>
        <w:tab/>
        <w:t>RAN2 to use Table</w:t>
      </w:r>
      <w:r w:rsidR="005D01C2">
        <w:rPr>
          <w:rFonts w:eastAsia="Times New Roman"/>
          <w:b/>
          <w:color w:val="000000"/>
        </w:rPr>
        <w:t xml:space="preserve"> </w:t>
      </w:r>
      <w:r>
        <w:rPr>
          <w:rFonts w:eastAsia="Times New Roman"/>
          <w:b/>
          <w:color w:val="000000"/>
        </w:rPr>
        <w:t xml:space="preserve">1 as a baseline for </w:t>
      </w:r>
      <w:r>
        <w:rPr>
          <w:b/>
        </w:rPr>
        <w:t>designing</w:t>
      </w:r>
      <w:r>
        <w:rPr>
          <w:rFonts w:eastAsia="Times New Roman"/>
          <w:b/>
          <w:color w:val="000000"/>
        </w:rPr>
        <w:t xml:space="preserve"> </w:t>
      </w:r>
      <w:r>
        <w:rPr>
          <w:b/>
        </w:rPr>
        <w:t xml:space="preserve">the </w:t>
      </w:r>
      <w:r>
        <w:rPr>
          <w:rFonts w:eastAsia="Times New Roman"/>
          <w:b/>
          <w:color w:val="000000"/>
        </w:rPr>
        <w:t>6G data transfer framework</w:t>
      </w:r>
      <w:r>
        <w:rPr>
          <w:b/>
        </w:rPr>
        <w:t>, which may be updated as studies in RAN2 and other WGs/TSGs progress.</w:t>
      </w:r>
    </w:p>
    <w:p w14:paraId="78BB1193" w14:textId="77777777" w:rsidR="00A63E99" w:rsidRDefault="00A63E99" w:rsidP="00A63E99">
      <w:pPr>
        <w:tabs>
          <w:tab w:val="left" w:pos="1843"/>
        </w:tabs>
      </w:pPr>
    </w:p>
    <w:p w14:paraId="245042E2" w14:textId="617629BA" w:rsidR="00121773" w:rsidRPr="00C562E0" w:rsidRDefault="00A63E99" w:rsidP="00121773">
      <w:pPr>
        <w:pBdr>
          <w:top w:val="nil"/>
          <w:left w:val="nil"/>
          <w:bottom w:val="nil"/>
          <w:right w:val="nil"/>
          <w:between w:val="nil"/>
        </w:pBdr>
        <w:tabs>
          <w:tab w:val="left" w:pos="0"/>
        </w:tabs>
        <w:ind w:left="1701" w:hanging="1701"/>
        <w:rPr>
          <w:rFonts w:eastAsia="Times New Roman"/>
          <w:b/>
          <w:color w:val="000000"/>
        </w:rPr>
      </w:pPr>
      <w:r>
        <w:rPr>
          <w:rFonts w:eastAsia="Times New Roman"/>
          <w:b/>
          <w:color w:val="000000"/>
        </w:rPr>
        <w:t xml:space="preserve">Proposal </w:t>
      </w:r>
      <w:r>
        <w:rPr>
          <w:b/>
        </w:rPr>
        <w:t>3</w:t>
      </w:r>
      <w:r>
        <w:rPr>
          <w:rFonts w:eastAsia="Times New Roman"/>
          <w:b/>
          <w:color w:val="000000"/>
        </w:rPr>
        <w:t>.</w:t>
      </w:r>
      <w:r>
        <w:rPr>
          <w:rFonts w:eastAsia="Times New Roman"/>
          <w:b/>
          <w:color w:val="000000"/>
        </w:rPr>
        <w:tab/>
      </w:r>
      <w:r w:rsidR="00121773">
        <w:rPr>
          <w:rFonts w:eastAsia="Times New Roman"/>
          <w:b/>
          <w:color w:val="000000"/>
        </w:rPr>
        <w:t xml:space="preserve">RAN2 to focus on designing a flexible 6G data transfer framework that can accommodate heterogeneous non-user data types (e.g., AI/ML, sensing, SON/MDT, and </w:t>
      </w:r>
      <w:proofErr w:type="spellStart"/>
      <w:r w:rsidR="00121773">
        <w:rPr>
          <w:rFonts w:eastAsia="Times New Roman"/>
          <w:b/>
          <w:color w:val="000000"/>
        </w:rPr>
        <w:t>QoE</w:t>
      </w:r>
      <w:proofErr w:type="spellEnd"/>
      <w:r w:rsidR="00121773">
        <w:rPr>
          <w:rFonts w:eastAsia="Times New Roman"/>
          <w:b/>
          <w:color w:val="000000"/>
        </w:rPr>
        <w:t xml:space="preserve">) through the following principles: </w:t>
      </w:r>
    </w:p>
    <w:p w14:paraId="362298EA" w14:textId="77777777" w:rsidR="00121773" w:rsidRDefault="00121773" w:rsidP="00121773">
      <w:pPr>
        <w:numPr>
          <w:ilvl w:val="2"/>
          <w:numId w:val="5"/>
        </w:numPr>
        <w:pBdr>
          <w:top w:val="nil"/>
          <w:left w:val="nil"/>
          <w:bottom w:val="nil"/>
          <w:right w:val="nil"/>
          <w:between w:val="nil"/>
        </w:pBdr>
        <w:tabs>
          <w:tab w:val="left" w:pos="0"/>
        </w:tabs>
      </w:pPr>
      <w:r>
        <w:rPr>
          <w:rFonts w:eastAsia="Times New Roman"/>
          <w:b/>
          <w:color w:val="000000"/>
        </w:rPr>
        <w:t xml:space="preserve">Flexible destination transport mechanism: </w:t>
      </w:r>
      <w:r>
        <w:rPr>
          <w:color w:val="000000"/>
        </w:rPr>
        <w:t>Allow the sender (e.g., UE or RAN node) to transfer non-user data to the appropriate recipient(s) — such as RAN, CN, MNO, UE-side server, OAM, or third-party servers — according to data type and purpose.</w:t>
      </w:r>
    </w:p>
    <w:p w14:paraId="6851276A" w14:textId="77777777" w:rsidR="00121773" w:rsidRDefault="00121773" w:rsidP="00121773">
      <w:pPr>
        <w:numPr>
          <w:ilvl w:val="2"/>
          <w:numId w:val="5"/>
        </w:numPr>
        <w:pBdr>
          <w:top w:val="nil"/>
          <w:left w:val="nil"/>
          <w:bottom w:val="nil"/>
          <w:right w:val="nil"/>
          <w:between w:val="nil"/>
        </w:pBdr>
        <w:tabs>
          <w:tab w:val="left" w:pos="0"/>
        </w:tabs>
      </w:pPr>
      <w:r>
        <w:rPr>
          <w:rFonts w:eastAsia="Times New Roman"/>
          <w:b/>
          <w:color w:val="000000"/>
        </w:rPr>
        <w:t xml:space="preserve">Flexible transport selection mechanism: </w:t>
      </w:r>
      <w:r>
        <w:rPr>
          <w:color w:val="000000"/>
        </w:rPr>
        <w:t>Enable adaptive use and enhancement of existing CP/UP structures as well as potential new options (e.g., Data Plane (DP)) to optimize efficiency, reliability, and latency.</w:t>
      </w:r>
    </w:p>
    <w:p w14:paraId="0C62089E" w14:textId="77777777" w:rsidR="00121773" w:rsidRDefault="00121773" w:rsidP="00121773">
      <w:pPr>
        <w:numPr>
          <w:ilvl w:val="2"/>
          <w:numId w:val="5"/>
        </w:numPr>
        <w:pBdr>
          <w:top w:val="nil"/>
          <w:left w:val="nil"/>
          <w:bottom w:val="nil"/>
          <w:right w:val="nil"/>
          <w:between w:val="nil"/>
        </w:pBdr>
        <w:tabs>
          <w:tab w:val="left" w:pos="0"/>
        </w:tabs>
      </w:pPr>
      <w:r>
        <w:rPr>
          <w:rFonts w:eastAsia="Times New Roman"/>
          <w:b/>
          <w:color w:val="000000"/>
        </w:rPr>
        <w:t xml:space="preserve">Flexible radio bearer mapping: </w:t>
      </w:r>
      <w:r>
        <w:rPr>
          <w:color w:val="000000"/>
        </w:rPr>
        <w:t>Support extension or enhancement of SRB/DRB and, where necessary, define new dedicated radio bearers for BS-terminated or non-user data flows not adequately served by current UP paths.</w:t>
      </w:r>
    </w:p>
    <w:p w14:paraId="1FC9A041" w14:textId="77777777" w:rsidR="00A63E99" w:rsidRDefault="00A63E99" w:rsidP="00121773">
      <w:pPr>
        <w:pBdr>
          <w:top w:val="nil"/>
          <w:left w:val="nil"/>
          <w:bottom w:val="nil"/>
          <w:right w:val="nil"/>
          <w:between w:val="nil"/>
        </w:pBdr>
        <w:tabs>
          <w:tab w:val="left" w:pos="0"/>
        </w:tabs>
        <w:ind w:left="1701" w:hanging="1701"/>
      </w:pPr>
    </w:p>
    <w:p w14:paraId="436F52BC" w14:textId="3F3EA90C" w:rsidR="00A63E99" w:rsidRPr="00A63E99" w:rsidRDefault="00A63E99" w:rsidP="00A63E99">
      <w:pPr>
        <w:rPr>
          <w:i/>
          <w:iCs/>
          <w:u w:val="single"/>
        </w:rPr>
      </w:pPr>
      <w:r w:rsidRPr="00A63E99">
        <w:rPr>
          <w:i/>
          <w:iCs/>
          <w:u w:val="single"/>
        </w:rPr>
        <w:t>Aspect of UE impact minimization:</w:t>
      </w:r>
    </w:p>
    <w:p w14:paraId="20C5C7F9" w14:textId="77777777" w:rsidR="00A63E99" w:rsidRDefault="00A63E99" w:rsidP="00A63E99">
      <w:pPr>
        <w:pBdr>
          <w:top w:val="nil"/>
          <w:left w:val="nil"/>
          <w:bottom w:val="nil"/>
          <w:right w:val="nil"/>
          <w:between w:val="nil"/>
        </w:pBdr>
        <w:tabs>
          <w:tab w:val="left" w:pos="0"/>
        </w:tabs>
        <w:ind w:left="1701" w:hanging="1701"/>
        <w:rPr>
          <w:b/>
          <w:color w:val="000000"/>
        </w:rPr>
      </w:pPr>
      <w:r>
        <w:rPr>
          <w:rFonts w:eastAsia="Times New Roman"/>
          <w:b/>
          <w:color w:val="000000"/>
        </w:rPr>
        <w:t>Observation 4.</w:t>
      </w:r>
      <w:r>
        <w:rPr>
          <w:rFonts w:eastAsia="Times New Roman"/>
          <w:b/>
          <w:color w:val="000000"/>
        </w:rPr>
        <w:tab/>
        <w:t>In 4G</w:t>
      </w:r>
      <w:r>
        <w:rPr>
          <w:b/>
        </w:rPr>
        <w:t>/</w:t>
      </w:r>
      <w:r>
        <w:rPr>
          <w:rFonts w:eastAsia="Times New Roman"/>
          <w:b/>
          <w:color w:val="000000"/>
        </w:rPr>
        <w:t xml:space="preserve">5G, UE impact minimization relied mainly on static configuration and DRX-based optimizations, which operated independently across services and did not account for multi-purpose or cross-domain data flows. </w:t>
      </w:r>
    </w:p>
    <w:p w14:paraId="261D60DA" w14:textId="77777777" w:rsidR="00A63E99" w:rsidRDefault="00A63E99" w:rsidP="00A63E99"/>
    <w:p w14:paraId="50195872" w14:textId="77777777" w:rsidR="00A63E99" w:rsidRDefault="00A63E99" w:rsidP="00A63E99">
      <w:pPr>
        <w:pBdr>
          <w:top w:val="nil"/>
          <w:left w:val="nil"/>
          <w:bottom w:val="nil"/>
          <w:right w:val="nil"/>
          <w:between w:val="nil"/>
        </w:pBdr>
        <w:tabs>
          <w:tab w:val="left" w:pos="0"/>
        </w:tabs>
        <w:ind w:left="1701" w:hanging="1701"/>
        <w:rPr>
          <w:b/>
          <w:color w:val="000000"/>
        </w:rPr>
      </w:pPr>
      <w:r>
        <w:rPr>
          <w:rFonts w:eastAsia="Times New Roman"/>
          <w:b/>
          <w:color w:val="000000"/>
        </w:rPr>
        <w:t xml:space="preserve">Proposal </w:t>
      </w:r>
      <w:r>
        <w:rPr>
          <w:b/>
        </w:rPr>
        <w:t>4</w:t>
      </w:r>
      <w:r>
        <w:rPr>
          <w:rFonts w:eastAsia="Times New Roman"/>
          <w:b/>
          <w:color w:val="000000"/>
        </w:rPr>
        <w:t>.</w:t>
      </w:r>
      <w:r>
        <w:rPr>
          <w:rFonts w:eastAsia="Times New Roman"/>
          <w:b/>
          <w:color w:val="000000"/>
        </w:rPr>
        <w:tab/>
        <w:t>RAN2 to maintain the framework-level principle that the 6G data transfer framework shall minimize UE impact</w:t>
      </w:r>
      <w:r>
        <w:rPr>
          <w:b/>
        </w:rPr>
        <w:t xml:space="preserve">, </w:t>
      </w:r>
      <w:r>
        <w:rPr>
          <w:rFonts w:eastAsia="Times New Roman"/>
          <w:b/>
          <w:color w:val="000000"/>
        </w:rPr>
        <w:t>focusing on studying generic procedures that enable:</w:t>
      </w:r>
    </w:p>
    <w:p w14:paraId="7762F1AA" w14:textId="4FF7FFCA" w:rsidR="00A63E99" w:rsidRDefault="00A63E99" w:rsidP="00A63E99">
      <w:pPr>
        <w:numPr>
          <w:ilvl w:val="0"/>
          <w:numId w:val="2"/>
        </w:numPr>
        <w:tabs>
          <w:tab w:val="left" w:pos="1843"/>
        </w:tabs>
      </w:pPr>
      <w:r>
        <w:rPr>
          <w:b/>
        </w:rPr>
        <w:t>Network-controlled scheduling and coordination</w:t>
      </w:r>
      <w:r>
        <w:t xml:space="preserve">: </w:t>
      </w:r>
      <w:r w:rsidR="00C40161">
        <w:t>A</w:t>
      </w:r>
      <w:r>
        <w:t>llowing the network to trigger or defer data transfers based on policy and resource conditions.</w:t>
      </w:r>
    </w:p>
    <w:p w14:paraId="29DE084F" w14:textId="781CC1FE" w:rsidR="00A63E99" w:rsidRDefault="00A63E99" w:rsidP="00A63E99">
      <w:pPr>
        <w:numPr>
          <w:ilvl w:val="0"/>
          <w:numId w:val="2"/>
        </w:numPr>
        <w:tabs>
          <w:tab w:val="left" w:pos="1843"/>
        </w:tabs>
      </w:pPr>
      <w:r>
        <w:rPr>
          <w:b/>
        </w:rPr>
        <w:t>Adaptive reporting</w:t>
      </w:r>
      <w:r>
        <w:t>: UE adjusts frequency, granularity, and data volume according to its state, mobility, and service context.</w:t>
      </w:r>
    </w:p>
    <w:p w14:paraId="45F19AC9" w14:textId="024B36C5" w:rsidR="00A63E99" w:rsidRDefault="00A63E99" w:rsidP="00A63E99">
      <w:pPr>
        <w:numPr>
          <w:ilvl w:val="0"/>
          <w:numId w:val="2"/>
        </w:numPr>
        <w:tabs>
          <w:tab w:val="left" w:pos="1843"/>
        </w:tabs>
      </w:pPr>
      <w:r>
        <w:rPr>
          <w:b/>
        </w:rPr>
        <w:t>Compact and prioritized data transfer</w:t>
      </w:r>
      <w:r>
        <w:t xml:space="preserve">: </w:t>
      </w:r>
      <w:r w:rsidR="00C40161">
        <w:t>I</w:t>
      </w:r>
      <w:r>
        <w:t>ncluding selective packetization, batching, and semantic-level compression to reduce redundant transmissions.</w:t>
      </w:r>
    </w:p>
    <w:p w14:paraId="60CBF3EC" w14:textId="1A80E309" w:rsidR="00A63E99" w:rsidRDefault="00A63E99" w:rsidP="00A63E99">
      <w:pPr>
        <w:numPr>
          <w:ilvl w:val="0"/>
          <w:numId w:val="2"/>
        </w:numPr>
        <w:tabs>
          <w:tab w:val="left" w:pos="1843"/>
        </w:tabs>
      </w:pPr>
      <w:r>
        <w:rPr>
          <w:b/>
        </w:rPr>
        <w:t>Energy- and state-aware operation</w:t>
      </w:r>
      <w:r>
        <w:t xml:space="preserve">: </w:t>
      </w:r>
      <w:r w:rsidR="00C40161">
        <w:t>A</w:t>
      </w:r>
      <w:r>
        <w:t>llowing data transfer without unnecessary state transitions.</w:t>
      </w:r>
    </w:p>
    <w:p w14:paraId="0B599BF3" w14:textId="77777777" w:rsidR="00A63E99" w:rsidRDefault="00A63E99" w:rsidP="00A63E99"/>
    <w:p w14:paraId="4FAA8A6B" w14:textId="5D927DFA" w:rsidR="00A63E99" w:rsidRPr="00A63E99" w:rsidRDefault="00A63E99" w:rsidP="00A63E99">
      <w:pPr>
        <w:rPr>
          <w:i/>
          <w:iCs/>
          <w:u w:val="single"/>
        </w:rPr>
      </w:pPr>
      <w:r w:rsidRPr="00A63E99">
        <w:rPr>
          <w:i/>
          <w:iCs/>
          <w:u w:val="single"/>
        </w:rPr>
        <w:t xml:space="preserve">Aspect of Future-proof and </w:t>
      </w:r>
      <w:r w:rsidR="005E5ADF">
        <w:rPr>
          <w:i/>
          <w:iCs/>
          <w:u w:val="single"/>
        </w:rPr>
        <w:t>E</w:t>
      </w:r>
      <w:r w:rsidR="005E5ADF" w:rsidRPr="00A63E99">
        <w:rPr>
          <w:i/>
          <w:iCs/>
          <w:u w:val="single"/>
        </w:rPr>
        <w:t>xtendibility</w:t>
      </w:r>
      <w:r w:rsidRPr="00A63E99">
        <w:rPr>
          <w:i/>
          <w:iCs/>
          <w:u w:val="single"/>
        </w:rPr>
        <w:t>:</w:t>
      </w:r>
    </w:p>
    <w:p w14:paraId="5C8D1126" w14:textId="77777777" w:rsidR="00A63E99" w:rsidRDefault="00A63E99" w:rsidP="00A63E99">
      <w:pPr>
        <w:pBdr>
          <w:top w:val="nil"/>
          <w:left w:val="nil"/>
          <w:bottom w:val="nil"/>
          <w:right w:val="nil"/>
          <w:between w:val="nil"/>
        </w:pBdr>
        <w:tabs>
          <w:tab w:val="left" w:pos="0"/>
        </w:tabs>
        <w:ind w:left="1701" w:hanging="1701"/>
        <w:rPr>
          <w:b/>
          <w:color w:val="000000"/>
        </w:rPr>
      </w:pPr>
      <w:r>
        <w:rPr>
          <w:rFonts w:eastAsia="Times New Roman"/>
          <w:b/>
          <w:color w:val="000000"/>
        </w:rPr>
        <w:t>Observation 5.</w:t>
      </w:r>
      <w:r>
        <w:rPr>
          <w:rFonts w:eastAsia="Times New Roman"/>
          <w:b/>
          <w:color w:val="000000"/>
        </w:rPr>
        <w:tab/>
        <w:t>Experience from 4G and 5G has shown that introducing new features or services often resulted in release-specific procedures and increased signaling complexity. This fragmented evolution limited interoperability, reuse, and long-term scalability of the framework.</w:t>
      </w:r>
    </w:p>
    <w:p w14:paraId="0AE4B25B" w14:textId="77777777" w:rsidR="00A63E99" w:rsidRDefault="00A63E99" w:rsidP="00A63E99"/>
    <w:p w14:paraId="1613C019" w14:textId="3A9B08DD" w:rsidR="003178CB" w:rsidRPr="00C562E0" w:rsidRDefault="00A63E99" w:rsidP="003178CB">
      <w:pPr>
        <w:pBdr>
          <w:top w:val="nil"/>
          <w:left w:val="nil"/>
          <w:bottom w:val="nil"/>
          <w:right w:val="nil"/>
          <w:between w:val="nil"/>
        </w:pBdr>
        <w:tabs>
          <w:tab w:val="left" w:pos="0"/>
        </w:tabs>
        <w:ind w:left="1701" w:hanging="1701"/>
        <w:rPr>
          <w:rFonts w:eastAsia="Times New Roman"/>
          <w:b/>
          <w:color w:val="000000"/>
        </w:rPr>
      </w:pPr>
      <w:r>
        <w:rPr>
          <w:rFonts w:eastAsia="Times New Roman"/>
          <w:b/>
          <w:color w:val="000000"/>
        </w:rPr>
        <w:t xml:space="preserve">Proposal </w:t>
      </w:r>
      <w:r>
        <w:rPr>
          <w:b/>
          <w:color w:val="000000"/>
        </w:rPr>
        <w:t>5</w:t>
      </w:r>
      <w:r>
        <w:rPr>
          <w:rFonts w:eastAsia="Times New Roman"/>
          <w:b/>
          <w:color w:val="000000"/>
        </w:rPr>
        <w:t>.</w:t>
      </w:r>
      <w:r>
        <w:rPr>
          <w:rFonts w:eastAsia="Times New Roman"/>
          <w:b/>
          <w:color w:val="000000"/>
        </w:rPr>
        <w:tab/>
      </w:r>
      <w:r w:rsidR="003178CB">
        <w:rPr>
          <w:rFonts w:eastAsia="Times New Roman"/>
          <w:b/>
          <w:color w:val="000000"/>
        </w:rPr>
        <w:t xml:space="preserve">RAN2 to focus on designing a unified 6G data transfer framework for future-proof </w:t>
      </w:r>
      <w:r w:rsidR="003178CB">
        <w:rPr>
          <w:b/>
        </w:rPr>
        <w:t>and e</w:t>
      </w:r>
      <w:r w:rsidR="003178CB" w:rsidRPr="00121773">
        <w:rPr>
          <w:b/>
        </w:rPr>
        <w:t>xtendibility</w:t>
      </w:r>
      <w:r w:rsidR="003178CB">
        <w:rPr>
          <w:rFonts w:eastAsia="Times New Roman"/>
          <w:b/>
          <w:color w:val="000000"/>
        </w:rPr>
        <w:t>, without introducing new or incompatible procedures.</w:t>
      </w:r>
    </w:p>
    <w:p w14:paraId="0EBD3243" w14:textId="77777777" w:rsidR="003178CB" w:rsidRPr="00C40161" w:rsidRDefault="003178CB" w:rsidP="003178CB">
      <w:pPr>
        <w:pStyle w:val="ListParagraph"/>
        <w:numPr>
          <w:ilvl w:val="0"/>
          <w:numId w:val="9"/>
        </w:numPr>
        <w:pBdr>
          <w:top w:val="nil"/>
          <w:left w:val="nil"/>
          <w:bottom w:val="nil"/>
          <w:right w:val="nil"/>
          <w:between w:val="nil"/>
        </w:pBdr>
        <w:tabs>
          <w:tab w:val="left" w:pos="0"/>
        </w:tabs>
      </w:pPr>
      <w:r w:rsidRPr="00283B9D">
        <w:rPr>
          <w:rFonts w:eastAsia="Times New Roman"/>
          <w:b/>
          <w:color w:val="000000"/>
        </w:rPr>
        <w:t xml:space="preserve">Unified/common framework baseline: </w:t>
      </w:r>
      <w:r w:rsidRPr="00283B9D">
        <w:rPr>
          <w:color w:val="000000"/>
        </w:rPr>
        <w:t>Establish a unified transfer framework applicable across multiple non-user data types, ensuring common procedures, signaling primitives, and QoS mapping rules as much as feasible.</w:t>
      </w:r>
    </w:p>
    <w:p w14:paraId="0B3DEA24" w14:textId="77777777" w:rsidR="003178CB" w:rsidRDefault="003178CB" w:rsidP="003178CB">
      <w:pPr>
        <w:numPr>
          <w:ilvl w:val="0"/>
          <w:numId w:val="9"/>
        </w:numPr>
        <w:tabs>
          <w:tab w:val="left" w:pos="1843"/>
        </w:tabs>
        <w:rPr>
          <w:b/>
        </w:rPr>
      </w:pPr>
      <w:r>
        <w:rPr>
          <w:b/>
        </w:rPr>
        <w:t xml:space="preserve">Generic and modular architecture: </w:t>
      </w:r>
      <w:r>
        <w:t>Separate common part from use-case-specific part.</w:t>
      </w:r>
    </w:p>
    <w:p w14:paraId="614C2A96" w14:textId="77777777" w:rsidR="003178CB" w:rsidRDefault="003178CB" w:rsidP="003178CB">
      <w:pPr>
        <w:numPr>
          <w:ilvl w:val="0"/>
          <w:numId w:val="9"/>
        </w:numPr>
        <w:tabs>
          <w:tab w:val="left" w:pos="1843"/>
        </w:tabs>
        <w:rPr>
          <w:b/>
        </w:rPr>
      </w:pPr>
      <w:r>
        <w:rPr>
          <w:b/>
        </w:rPr>
        <w:t xml:space="preserve">Termination-aware and plane-agnostic design: </w:t>
      </w:r>
      <w:r>
        <w:t>Plane-agnostic (CP/UP/DP) design to support multiple producer/consumer pairs.</w:t>
      </w:r>
    </w:p>
    <w:p w14:paraId="420AAF95" w14:textId="77777777" w:rsidR="003178CB" w:rsidRDefault="003178CB" w:rsidP="003178CB">
      <w:pPr>
        <w:numPr>
          <w:ilvl w:val="0"/>
          <w:numId w:val="9"/>
        </w:numPr>
        <w:tabs>
          <w:tab w:val="left" w:pos="1843"/>
        </w:tabs>
        <w:rPr>
          <w:b/>
        </w:rPr>
      </w:pPr>
      <w:r>
        <w:rPr>
          <w:b/>
        </w:rPr>
        <w:t xml:space="preserve">Policy-driven evolution: </w:t>
      </w:r>
      <w:r>
        <w:t>Allow policy updates to steer where/when/how data is transferred.</w:t>
      </w:r>
    </w:p>
    <w:p w14:paraId="0F61BB8C" w14:textId="77777777" w:rsidR="00A63E99" w:rsidRDefault="00A63E99" w:rsidP="003178CB">
      <w:pPr>
        <w:pBdr>
          <w:top w:val="nil"/>
          <w:left w:val="nil"/>
          <w:bottom w:val="nil"/>
          <w:right w:val="nil"/>
          <w:between w:val="nil"/>
        </w:pBdr>
        <w:tabs>
          <w:tab w:val="left" w:pos="0"/>
        </w:tabs>
        <w:ind w:left="1701" w:hanging="1701"/>
      </w:pPr>
    </w:p>
    <w:p w14:paraId="3364A08F" w14:textId="7FB976D1" w:rsidR="00A63E99" w:rsidRPr="007922C5" w:rsidRDefault="007922C5" w:rsidP="00A63E99">
      <w:pPr>
        <w:rPr>
          <w:color w:val="000000" w:themeColor="text1"/>
          <w:sz w:val="24"/>
          <w:szCs w:val="24"/>
        </w:rPr>
      </w:pPr>
      <w:r w:rsidRPr="007922C5">
        <w:rPr>
          <w:color w:val="000000" w:themeColor="text1"/>
          <w:sz w:val="24"/>
          <w:szCs w:val="24"/>
        </w:rPr>
        <w:t>2.</w:t>
      </w:r>
      <w:r w:rsidRPr="007922C5">
        <w:rPr>
          <w:color w:val="000000" w:themeColor="text1"/>
          <w:sz w:val="24"/>
          <w:szCs w:val="24"/>
        </w:rPr>
        <w:tab/>
      </w:r>
      <w:r w:rsidR="00A63E99" w:rsidRPr="007922C5">
        <w:rPr>
          <w:color w:val="000000" w:themeColor="text1"/>
          <w:sz w:val="24"/>
          <w:szCs w:val="24"/>
        </w:rPr>
        <w:t>6G AI/ML Life Cycle Management (LCM) framework</w:t>
      </w:r>
    </w:p>
    <w:p w14:paraId="35B2C78C" w14:textId="77777777" w:rsidR="00A63E99" w:rsidRDefault="00A63E99" w:rsidP="00A63E99">
      <w:pPr>
        <w:tabs>
          <w:tab w:val="left" w:pos="1843"/>
        </w:tabs>
      </w:pPr>
    </w:p>
    <w:p w14:paraId="269E2565" w14:textId="77777777" w:rsidR="00A63E99" w:rsidRDefault="00A63E99" w:rsidP="00A63E99">
      <w:pPr>
        <w:pStyle w:val="Style1"/>
      </w:pPr>
      <w:r>
        <w:lastRenderedPageBreak/>
        <w:t>Observation 6.</w:t>
      </w:r>
      <w:r>
        <w:tab/>
        <w:t>While a unified LCM framework for AI/ML across various use cases has been proposed by some companies, it is recognized that the level of unification may differ between the functional and procedural aspects. It would be more effective to study enhancements to the existing 5G NR LCM framework where performance and operational efficiency can be improved.</w:t>
      </w:r>
    </w:p>
    <w:p w14:paraId="0F57CB36" w14:textId="7317B7E3" w:rsidR="00A63E99" w:rsidRDefault="00A63E99" w:rsidP="00A63E99">
      <w:pPr>
        <w:tabs>
          <w:tab w:val="left" w:pos="1843"/>
        </w:tabs>
      </w:pPr>
    </w:p>
    <w:p w14:paraId="361BA0B9" w14:textId="77777777" w:rsidR="00A63E99" w:rsidRDefault="00A63E99" w:rsidP="00A63E99">
      <w:pPr>
        <w:pStyle w:val="Style1"/>
      </w:pPr>
      <w:r>
        <w:t xml:space="preserve">Observation 7. </w:t>
      </w:r>
      <w:r>
        <w:tab/>
        <w:t>6GR LCM framework is expected to support a broader range of AI/ML use cases than 5G NR, leading to increased LCM related configuration and signaling overhead. To address this, lightweight LCM configuration, priority-based control, group-based control, and UE-based/assisted mechanisms can be studied to maintain scalability and reduce network burden.</w:t>
      </w:r>
    </w:p>
    <w:p w14:paraId="5CF1A555" w14:textId="77777777" w:rsidR="00A63E99" w:rsidRDefault="00A63E99" w:rsidP="00A63E99">
      <w:pPr>
        <w:tabs>
          <w:tab w:val="left" w:pos="1843"/>
        </w:tabs>
      </w:pPr>
    </w:p>
    <w:p w14:paraId="59CFF476" w14:textId="77777777" w:rsidR="00A63E99" w:rsidRDefault="00A63E99" w:rsidP="00A63E99">
      <w:pPr>
        <w:pStyle w:val="Style1"/>
      </w:pPr>
      <w:r>
        <w:t xml:space="preserve">Observation 8. </w:t>
      </w:r>
      <w:r>
        <w:tab/>
        <w:t xml:space="preserve">To realize the full potential of AI/ML in 6GR, the LCM framework should support localized models with faster and more dynamic LCM operation. Enhancements to the existing 5G NR mechanisms, such as dynamic functionality/model switching and selective performance monitoring for inactive functionality/model, will be essential to achieve this goal. </w:t>
      </w:r>
    </w:p>
    <w:p w14:paraId="19E239F9" w14:textId="77777777" w:rsidR="00A63E99" w:rsidRDefault="00A63E99" w:rsidP="00A63E99">
      <w:pPr>
        <w:tabs>
          <w:tab w:val="left" w:pos="1843"/>
        </w:tabs>
      </w:pPr>
    </w:p>
    <w:p w14:paraId="2B81EAD8" w14:textId="5E9E346D" w:rsidR="00A63E99" w:rsidRPr="00A63E99" w:rsidRDefault="00A63E99" w:rsidP="00A63E99">
      <w:pPr>
        <w:tabs>
          <w:tab w:val="left" w:pos="1843"/>
        </w:tabs>
        <w:rPr>
          <w:i/>
          <w:iCs/>
        </w:rPr>
      </w:pPr>
      <w:r w:rsidRPr="00827D9C">
        <w:rPr>
          <w:i/>
          <w:iCs/>
        </w:rPr>
        <w:t xml:space="preserve">From above observation </w:t>
      </w:r>
      <w:r>
        <w:rPr>
          <w:i/>
          <w:iCs/>
        </w:rPr>
        <w:t>6, 7</w:t>
      </w:r>
      <w:r w:rsidRPr="00827D9C">
        <w:rPr>
          <w:i/>
          <w:iCs/>
        </w:rPr>
        <w:t xml:space="preserve"> and </w:t>
      </w:r>
      <w:r>
        <w:rPr>
          <w:i/>
          <w:iCs/>
        </w:rPr>
        <w:t>8</w:t>
      </w:r>
      <w:r w:rsidRPr="00827D9C">
        <w:rPr>
          <w:i/>
          <w:iCs/>
        </w:rPr>
        <w:t>, we made proposal:</w:t>
      </w:r>
    </w:p>
    <w:p w14:paraId="16D6B68A" w14:textId="77777777" w:rsidR="00A63E99" w:rsidRDefault="00A63E99" w:rsidP="00A63E99">
      <w:pPr>
        <w:pStyle w:val="Style1"/>
      </w:pPr>
      <w:r>
        <w:t>Proposal 6.</w:t>
      </w:r>
      <w:r>
        <w:tab/>
        <w:t>Study AI LCM framework enhancement based on 5G NR LCM:</w:t>
      </w:r>
    </w:p>
    <w:p w14:paraId="46257EA2" w14:textId="77777777" w:rsidR="00A63E99" w:rsidRDefault="00A63E99" w:rsidP="00A63E99">
      <w:pPr>
        <w:pStyle w:val="Style1"/>
      </w:pPr>
      <w:r>
        <w:tab/>
      </w:r>
      <w:r>
        <w:tab/>
        <w:t>a. Reduced signaling/configuration overhead for LCM operation</w:t>
      </w:r>
    </w:p>
    <w:p w14:paraId="2777F707" w14:textId="77777777" w:rsidR="00A63E99" w:rsidRDefault="00A63E99" w:rsidP="00A63E99">
      <w:pPr>
        <w:pStyle w:val="Style1"/>
      </w:pPr>
      <w:r>
        <w:tab/>
      </w:r>
      <w:r>
        <w:tab/>
        <w:t>b. Support of fast and dynamic LCM operations considering localized model implementation</w:t>
      </w:r>
    </w:p>
    <w:p w14:paraId="069E5144" w14:textId="77777777" w:rsidR="00A63E99" w:rsidRDefault="00A63E99" w:rsidP="00A63E99">
      <w:pPr>
        <w:tabs>
          <w:tab w:val="left" w:pos="1843"/>
        </w:tabs>
      </w:pPr>
    </w:p>
    <w:p w14:paraId="02A042A6" w14:textId="77777777" w:rsidR="00A63E99" w:rsidRDefault="00A63E99" w:rsidP="00A63E99">
      <w:pPr>
        <w:pStyle w:val="Style1"/>
      </w:pPr>
      <w:r>
        <w:t xml:space="preserve">Observation 9. </w:t>
      </w:r>
      <w:r>
        <w:tab/>
        <w:t>To support diverse and intensive AI/ML operations in 6G, an enhanced AI Processing Unit (APU) framework is expected to manage both CSI and non-CSI AI workloads efficiently</w:t>
      </w:r>
    </w:p>
    <w:p w14:paraId="59297C79" w14:textId="77777777" w:rsidR="00A63E99" w:rsidRDefault="00A63E99" w:rsidP="00A63E99">
      <w:pPr>
        <w:tabs>
          <w:tab w:val="left" w:pos="1843"/>
        </w:tabs>
      </w:pPr>
    </w:p>
    <w:p w14:paraId="502F59F7" w14:textId="77777777" w:rsidR="00A63E99" w:rsidRDefault="00A63E99" w:rsidP="00A63E99">
      <w:pPr>
        <w:pStyle w:val="Style1"/>
      </w:pPr>
      <w:r>
        <w:t xml:space="preserve">Observation 10. </w:t>
      </w:r>
      <w:r>
        <w:tab/>
        <w:t>Network architecture and protocols are expected to be AI-awareness, enabling dynamic resource allocation, inter-BS resource sharing, and computation load management—including potential handover for computing offload—to ensure reliable and scalable AI service delivery.</w:t>
      </w:r>
    </w:p>
    <w:p w14:paraId="439B2D2D" w14:textId="77777777" w:rsidR="00A63E99" w:rsidRDefault="00A63E99" w:rsidP="00A63E99">
      <w:pPr>
        <w:tabs>
          <w:tab w:val="left" w:pos="1843"/>
        </w:tabs>
      </w:pPr>
    </w:p>
    <w:p w14:paraId="5CEABFE6" w14:textId="4565F074" w:rsidR="00A63E99" w:rsidRPr="00A63E99" w:rsidRDefault="00A63E99" w:rsidP="00A63E99">
      <w:pPr>
        <w:tabs>
          <w:tab w:val="left" w:pos="1843"/>
        </w:tabs>
        <w:rPr>
          <w:i/>
          <w:iCs/>
        </w:rPr>
      </w:pPr>
      <w:r w:rsidRPr="00827D9C">
        <w:rPr>
          <w:i/>
          <w:iCs/>
        </w:rPr>
        <w:t xml:space="preserve">From above observation </w:t>
      </w:r>
      <w:r>
        <w:rPr>
          <w:i/>
          <w:iCs/>
        </w:rPr>
        <w:t>9</w:t>
      </w:r>
      <w:r w:rsidRPr="00827D9C">
        <w:rPr>
          <w:i/>
          <w:iCs/>
        </w:rPr>
        <w:t xml:space="preserve"> and</w:t>
      </w:r>
      <w:r>
        <w:rPr>
          <w:i/>
          <w:iCs/>
        </w:rPr>
        <w:t xml:space="preserve"> 10</w:t>
      </w:r>
      <w:r w:rsidRPr="00827D9C">
        <w:rPr>
          <w:i/>
          <w:iCs/>
        </w:rPr>
        <w:t>, we made proposal:</w:t>
      </w:r>
    </w:p>
    <w:p w14:paraId="76A630A9" w14:textId="0E5D1775" w:rsidR="001A533C" w:rsidRPr="00A63E99" w:rsidRDefault="00A63E99" w:rsidP="00A63E99">
      <w:pPr>
        <w:pStyle w:val="Style1"/>
      </w:pPr>
      <w:r>
        <w:t>Proposal 7.</w:t>
      </w:r>
      <w:r>
        <w:tab/>
        <w:t>Study AI processing resource management of UE/NW to support various AI use cases and services.</w:t>
      </w:r>
    </w:p>
    <w:p w14:paraId="60A5B103" w14:textId="77777777" w:rsidR="001A533C" w:rsidRDefault="00000000">
      <w:pPr>
        <w:pStyle w:val="Heading1"/>
      </w:pPr>
      <w:bookmarkStart w:id="14" w:name="_1s07pjkz0nvz" w:colFirst="0" w:colLast="0"/>
      <w:bookmarkEnd w:id="14"/>
      <w:r>
        <w:t>4</w:t>
      </w:r>
      <w:r>
        <w:tab/>
        <w:t>References</w:t>
      </w:r>
    </w:p>
    <w:p w14:paraId="31565FFD" w14:textId="0316ABAA" w:rsidR="001A533C" w:rsidRDefault="00000000" w:rsidP="006F29D9">
      <w:pPr>
        <w:numPr>
          <w:ilvl w:val="0"/>
          <w:numId w:val="10"/>
        </w:numPr>
        <w:spacing w:after="120"/>
      </w:pPr>
      <w:r>
        <w:t>RAN2#131bis Chair note</w:t>
      </w:r>
    </w:p>
    <w:sectPr w:rsidR="001A533C">
      <w:headerReference w:type="even" r:id="rId8"/>
      <w:headerReference w:type="default" r:id="rId9"/>
      <w:footerReference w:type="even" r:id="rId10"/>
      <w:footerReference w:type="default" r:id="rId11"/>
      <w:headerReference w:type="first" r:id="rId12"/>
      <w:footerReference w:type="first" r:id="rId13"/>
      <w:pgSz w:w="11906" w:h="16838"/>
      <w:pgMar w:top="851" w:right="851" w:bottom="567" w:left="851"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68026A" w14:textId="77777777" w:rsidR="004D2369" w:rsidRDefault="004D2369">
      <w:r>
        <w:separator/>
      </w:r>
    </w:p>
  </w:endnote>
  <w:endnote w:type="continuationSeparator" w:id="0">
    <w:p w14:paraId="37B2422E" w14:textId="77777777" w:rsidR="004D2369" w:rsidRDefault="004D23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7917E500-460C-5A4E-A82A-CE9043CDEBD5}"/>
    <w:embedBold r:id="rId2" w:fontKey="{9BEECF6E-5539-C14B-A976-65308884718A}"/>
    <w:embedItalic r:id="rId3" w:fontKey="{C9695E8C-32E3-9A43-A2AA-5A971D5B278E}"/>
    <w:embedBoldItalic r:id="rId4" w:fontKey="{EB9981ED-1322-D647-8E8A-E5CC35BD4903}"/>
  </w:font>
  <w:font w:name="Arial">
    <w:panose1 w:val="020B0604020202020204"/>
    <w:charset w:val="00"/>
    <w:family w:val="swiss"/>
    <w:pitch w:val="variable"/>
    <w:sig w:usb0="E0002EFF" w:usb1="C000785B" w:usb2="00000009" w:usb3="00000000" w:csb0="000001FF" w:csb1="00000000"/>
    <w:embedRegular r:id="rId5" w:fontKey="{C9C753A5-C882-A443-8EB0-D78328200B80}"/>
    <w:embedBold r:id="rId6" w:fontKey="{0A439D8A-6881-9B4A-8243-4C3918F0CEB3}"/>
    <w:embedItalic r:id="rId7" w:fontKey="{36E4BDAB-D4F5-9E41-BD01-54B24DB6A6DF}"/>
  </w:font>
  <w:font w:name="Courier New">
    <w:panose1 w:val="02070309020205020404"/>
    <w:charset w:val="00"/>
    <w:family w:val="modern"/>
    <w:pitch w:val="fixed"/>
    <w:sig w:usb0="E0002EFF" w:usb1="C0007843" w:usb2="00000009" w:usb3="00000000" w:csb0="000001FF" w:csb1="00000000"/>
    <w:embedRegular r:id="rId8" w:fontKey="{68E65BE0-4782-7344-BB33-104F32C516D9}"/>
  </w:font>
  <w:font w:name="Wingdings">
    <w:panose1 w:val="05000000000000000000"/>
    <w:charset w:val="4D"/>
    <w:family w:val="decorative"/>
    <w:pitch w:val="variable"/>
    <w:sig w:usb0="00000003" w:usb1="00000000" w:usb2="00000000" w:usb3="00000000" w:csb0="80000001" w:csb1="00000000"/>
    <w:embedRegular r:id="rId9" w:fontKey="{6C06CCC5-F372-8C48-AEE6-12EFA101A139}"/>
  </w:font>
  <w:font w:name="Symbol">
    <w:panose1 w:val="05050102010706020507"/>
    <w:charset w:val="02"/>
    <w:family w:val="decorative"/>
    <w:pitch w:val="variable"/>
    <w:sig w:usb0="00000003" w:usb1="10000000" w:usb2="00000000" w:usb3="00000000" w:csb0="80000001" w:csb1="00000000"/>
    <w:embedRegular r:id="rId10" w:fontKey="{07D1B95C-CF95-E249-B4CB-3A30BA684A6B}"/>
  </w:font>
  <w:font w:name="Aptos">
    <w:panose1 w:val="020B0004020202020204"/>
    <w:charset w:val="00"/>
    <w:family w:val="swiss"/>
    <w:pitch w:val="variable"/>
    <w:sig w:usb0="20000287" w:usb1="00000003" w:usb2="00000000" w:usb3="00000000" w:csb0="0000019F" w:csb1="00000000"/>
    <w:embedRegular r:id="rId11" w:fontKey="{601AF7C5-40B7-F34A-B6D1-EDCD969B877F}"/>
  </w:font>
  <w:font w:name="Malgun Gothic">
    <w:altName w:val="맑은 고딕"/>
    <w:panose1 w:val="020B0503020000020004"/>
    <w:charset w:val="81"/>
    <w:family w:val="swiss"/>
    <w:pitch w:val="variable"/>
    <w:sig w:usb0="9000002F" w:usb1="29D77CFB" w:usb2="00000012" w:usb3="00000000" w:csb0="00080001" w:csb1="00000000"/>
    <w:embedRegular r:id="rId12" w:subsetted="1" w:fontKey="{48B6DE0C-5BBC-5146-B94C-C62AFDBF1281}"/>
  </w:font>
  <w:font w:name="Georgia">
    <w:panose1 w:val="02040502050405020303"/>
    <w:charset w:val="00"/>
    <w:family w:val="roman"/>
    <w:pitch w:val="variable"/>
    <w:sig w:usb0="00000287" w:usb1="00000000" w:usb2="00000000" w:usb3="00000000" w:csb0="0000009F" w:csb1="00000000"/>
    <w:embedRegular r:id="rId13" w:fontKey="{03905006-FC01-3A48-A633-1C6B4403FDE5}"/>
    <w:embedItalic r:id="rId14" w:fontKey="{10E75DE3-283E-474A-8E0A-8901DC11B24A}"/>
  </w:font>
  <w:font w:name="MS Mincho">
    <w:altName w:val="ＭＳ 明朝"/>
    <w:panose1 w:val="02020609040205080304"/>
    <w:charset w:val="80"/>
    <w:family w:val="modern"/>
    <w:pitch w:val="fixed"/>
    <w:sig w:usb0="E00002FF" w:usb1="6AC7FDFB" w:usb2="08000012" w:usb3="00000000" w:csb0="0002009F" w:csb1="00000000"/>
  </w:font>
  <w:font w:name="Noto Sans Symbols">
    <w:altName w:val="Calibri"/>
    <w:panose1 w:val="020B0604020202020204"/>
    <w:charset w:val="00"/>
    <w:family w:val="auto"/>
    <w:pitch w:val="default"/>
  </w:font>
  <w:font w:name="Cardo">
    <w:panose1 w:val="020B0604020202020204"/>
    <w:charset w:val="00"/>
    <w:family w:val="auto"/>
    <w:pitch w:val="default"/>
  </w:font>
  <w:font w:name="Calibri">
    <w:panose1 w:val="020F0502020204030204"/>
    <w:charset w:val="00"/>
    <w:family w:val="swiss"/>
    <w:pitch w:val="variable"/>
    <w:sig w:usb0="E4002EFF" w:usb1="C000247B" w:usb2="00000009" w:usb3="00000000" w:csb0="000001FF" w:csb1="00000000"/>
    <w:embedRegular r:id="rId18" w:fontKey="{65641279-C39F-BC4A-90D3-00C2FF8902EA}"/>
  </w:font>
  <w:font w:name="Cambria">
    <w:panose1 w:val="02040503050406030204"/>
    <w:charset w:val="00"/>
    <w:family w:val="roman"/>
    <w:pitch w:val="variable"/>
    <w:sig w:usb0="E00002FF" w:usb1="400004FF" w:usb2="00000000" w:usb3="00000000" w:csb0="0000019F" w:csb1="00000000"/>
    <w:embedRegular r:id="rId19" w:fontKey="{591261B2-95E6-BF4B-85E8-E176AD35486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F295A" w14:textId="77777777" w:rsidR="001A533C" w:rsidRDefault="001A533C">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BCFA0" w14:textId="77777777" w:rsidR="001A533C" w:rsidRDefault="001A533C">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4A7E30" w14:textId="77777777" w:rsidR="001A533C" w:rsidRDefault="001A533C">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B14B4B" w14:textId="77777777" w:rsidR="004D2369" w:rsidRDefault="004D2369">
      <w:r>
        <w:separator/>
      </w:r>
    </w:p>
  </w:footnote>
  <w:footnote w:type="continuationSeparator" w:id="0">
    <w:p w14:paraId="61107DBF" w14:textId="77777777" w:rsidR="004D2369" w:rsidRDefault="004D23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A1FC51" w14:textId="77777777" w:rsidR="001A533C" w:rsidRDefault="00000000">
    <w:pPr>
      <w:pBdr>
        <w:top w:val="nil"/>
        <w:left w:val="nil"/>
        <w:bottom w:val="nil"/>
        <w:right w:val="nil"/>
        <w:between w:val="nil"/>
      </w:pBdr>
      <w:tabs>
        <w:tab w:val="center" w:pos="4513"/>
        <w:tab w:val="right" w:pos="9026"/>
      </w:tabs>
      <w:rPr>
        <w:color w:val="000000"/>
      </w:rPr>
    </w:pPr>
    <w:r>
      <w:rPr>
        <w:noProof/>
        <w:color w:val="000000"/>
      </w:rPr>
      <mc:AlternateContent>
        <mc:Choice Requires="wps">
          <w:drawing>
            <wp:anchor distT="0" distB="0" distL="0" distR="0" simplePos="0" relativeHeight="251659264" behindDoc="0" locked="0" layoutInCell="1" hidden="0" allowOverlap="1" wp14:anchorId="7FAAD0D7" wp14:editId="571ABA85">
              <wp:simplePos x="0" y="0"/>
              <wp:positionH relativeFrom="page">
                <wp:align>center</wp:align>
              </wp:positionH>
              <wp:positionV relativeFrom="page">
                <wp:align>top</wp:align>
              </wp:positionV>
              <wp:extent cx="1371600" cy="405130"/>
              <wp:effectExtent l="0" t="0" r="0" b="0"/>
              <wp:wrapNone/>
              <wp:docPr id="1" name="Rectangle 1" descr="LGE Internal Use Only"/>
              <wp:cNvGraphicFramePr/>
              <a:graphic xmlns:a="http://schemas.openxmlformats.org/drawingml/2006/main">
                <a:graphicData uri="http://schemas.microsoft.com/office/word/2010/wordprocessingShape">
                  <wps:wsp>
                    <wps:cNvSpPr/>
                    <wps:spPr>
                      <a:xfrm>
                        <a:off x="4674488" y="3591723"/>
                        <a:ext cx="1343025" cy="376555"/>
                      </a:xfrm>
                      <a:prstGeom prst="rect">
                        <a:avLst/>
                      </a:prstGeom>
                      <a:noFill/>
                      <a:ln>
                        <a:noFill/>
                      </a:ln>
                    </wps:spPr>
                    <wps:txbx>
                      <w:txbxContent>
                        <w:p w14:paraId="5E142AB9" w14:textId="77777777" w:rsidR="001A533C" w:rsidRDefault="00000000">
                          <w:pPr>
                            <w:textDirection w:val="btLr"/>
                          </w:pPr>
                          <w:r>
                            <w:rPr>
                              <w:rFonts w:ascii="Calibri" w:eastAsia="Calibri" w:hAnsi="Calibri" w:cs="Calibri"/>
                              <w:color w:val="000000"/>
                              <w:sz w:val="24"/>
                            </w:rPr>
                            <w:t>LGE Internal Use Only</w:t>
                          </w:r>
                        </w:p>
                      </w:txbxContent>
                    </wps:txbx>
                    <wps:bodyPr spcFirstLastPara="1" wrap="square" lIns="0" tIns="190500" rIns="0" bIns="0" anchor="t" anchorCtr="0">
                      <a:noAutofit/>
                    </wps:bodyPr>
                  </wps:wsp>
                </a:graphicData>
              </a:graphic>
            </wp:anchor>
          </w:drawing>
        </mc:Choice>
        <mc:Fallback>
          <w:pict>
            <v:rect w14:anchorId="7FAAD0D7" id="Rectangle 1" o:spid="_x0000_s1026" alt="LGE Internal Use Only" style="position:absolute;margin-left:0;margin-top:0;width:108pt;height:31.9pt;z-index:251659264;visibility:visible;mso-wrap-style:squar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" filled="f" stroked="f">
              <v:textbox inset="0,15pt,0,0">
                <w:txbxContent>
                  <w:p w14:paraId="5E142AB9" w14:textId="77777777" w:rsidR="001A533C" w:rsidRDefault="00000000">
                    <w:pPr>
                      <w:textDirection w:val="btLr"/>
                    </w:pPr>
                    <w:r>
                      <w:rPr>
                        <w:rFonts w:ascii="Calibri" w:eastAsia="Calibri" w:hAnsi="Calibri" w:cs="Calibri"/>
                        <w:color w:val="000000"/>
                        <w:sz w:val="24"/>
                      </w:rPr>
                      <w:t>LGE Internal Use Only</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AA54E" w14:textId="77777777" w:rsidR="001A533C" w:rsidRDefault="001A533C">
    <w:pPr>
      <w:pBdr>
        <w:top w:val="nil"/>
        <w:left w:val="nil"/>
        <w:bottom w:val="nil"/>
        <w:right w:val="nil"/>
        <w:between w:val="nil"/>
      </w:pBdr>
      <w:tabs>
        <w:tab w:val="center" w:pos="4513"/>
        <w:tab w:val="right" w:pos="9026"/>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37FD6" w14:textId="77777777" w:rsidR="001A533C" w:rsidRDefault="00000000">
    <w:pPr>
      <w:pBdr>
        <w:top w:val="nil"/>
        <w:left w:val="nil"/>
        <w:bottom w:val="nil"/>
        <w:right w:val="nil"/>
        <w:between w:val="nil"/>
      </w:pBdr>
      <w:tabs>
        <w:tab w:val="center" w:pos="4513"/>
        <w:tab w:val="right" w:pos="9026"/>
      </w:tabs>
      <w:rPr>
        <w:color w:val="000000"/>
      </w:rPr>
    </w:pPr>
    <w:r>
      <w:rPr>
        <w:noProof/>
        <w:color w:val="000000"/>
      </w:rPr>
      <mc:AlternateContent>
        <mc:Choice Requires="wps">
          <w:drawing>
            <wp:anchor distT="0" distB="0" distL="0" distR="0" simplePos="0" relativeHeight="251658240" behindDoc="0" locked="0" layoutInCell="1" hidden="0" allowOverlap="1" wp14:anchorId="3772683E" wp14:editId="3B15E9E4">
              <wp:simplePos x="0" y="0"/>
              <wp:positionH relativeFrom="page">
                <wp:align>center</wp:align>
              </wp:positionH>
              <wp:positionV relativeFrom="page">
                <wp:align>top</wp:align>
              </wp:positionV>
              <wp:extent cx="1371600" cy="405130"/>
              <wp:effectExtent l="0" t="0" r="0" b="0"/>
              <wp:wrapNone/>
              <wp:docPr id="2" name="Rectangle 2" descr="LGE Internal Use Only"/>
              <wp:cNvGraphicFramePr/>
              <a:graphic xmlns:a="http://schemas.openxmlformats.org/drawingml/2006/main">
                <a:graphicData uri="http://schemas.microsoft.com/office/word/2010/wordprocessingShape">
                  <wps:wsp>
                    <wps:cNvSpPr/>
                    <wps:spPr>
                      <a:xfrm>
                        <a:off x="4674488" y="3591723"/>
                        <a:ext cx="1343025" cy="376555"/>
                      </a:xfrm>
                      <a:prstGeom prst="rect">
                        <a:avLst/>
                      </a:prstGeom>
                      <a:noFill/>
                      <a:ln>
                        <a:noFill/>
                      </a:ln>
                    </wps:spPr>
                    <wps:txbx>
                      <w:txbxContent>
                        <w:p w14:paraId="52BAA1B9" w14:textId="77777777" w:rsidR="001A533C" w:rsidRDefault="00000000">
                          <w:pPr>
                            <w:textDirection w:val="btLr"/>
                          </w:pPr>
                          <w:r>
                            <w:rPr>
                              <w:rFonts w:ascii="Calibri" w:eastAsia="Calibri" w:hAnsi="Calibri" w:cs="Calibri"/>
                              <w:color w:val="000000"/>
                              <w:sz w:val="24"/>
                            </w:rPr>
                            <w:t>LGE Internal Use Only</w:t>
                          </w:r>
                        </w:p>
                      </w:txbxContent>
                    </wps:txbx>
                    <wps:bodyPr spcFirstLastPara="1" wrap="square" lIns="0" tIns="190500" rIns="0" bIns="0" anchor="t" anchorCtr="0">
                      <a:noAutofit/>
                    </wps:bodyPr>
                  </wps:wsp>
                </a:graphicData>
              </a:graphic>
            </wp:anchor>
          </w:drawing>
        </mc:Choice>
        <mc:Fallback>
          <w:pict>
            <v:rect w14:anchorId="3772683E" id="Rectangle 2" o:spid="_x0000_s1027" alt="LGE Internal Use Only" style="position:absolute;margin-left:0;margin-top:0;width:108pt;height:31.9pt;z-index:251658240;visibility:visible;mso-wrap-style:squar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" filled="f" stroked="f">
              <v:textbox inset="0,15pt,0,0">
                <w:txbxContent>
                  <w:p w14:paraId="52BAA1B9" w14:textId="77777777" w:rsidR="001A533C" w:rsidRDefault="00000000">
                    <w:pPr>
                      <w:textDirection w:val="btLr"/>
                    </w:pPr>
                    <w:r>
                      <w:rPr>
                        <w:rFonts w:ascii="Calibri" w:eastAsia="Calibri" w:hAnsi="Calibri" w:cs="Calibri"/>
                        <w:color w:val="000000"/>
                        <w:sz w:val="24"/>
                      </w:rPr>
                      <w:t>LGE Internal Use Only</w:t>
                    </w:r>
                  </w:p>
                </w:txbxContent>
              </v:textbox>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9D6D39"/>
    <w:multiLevelType w:val="multilevel"/>
    <w:tmpl w:val="F670EA6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 w15:restartNumberingAfterBreak="0">
    <w:nsid w:val="14301E7B"/>
    <w:multiLevelType w:val="multilevel"/>
    <w:tmpl w:val="10725E52"/>
    <w:lvl w:ilvl="0">
      <w:start w:val="1"/>
      <w:numFmt w:val="decimal"/>
      <w:lvlText w:val="[%1]"/>
      <w:lvlJc w:val="left"/>
      <w:pPr>
        <w:ind w:left="360" w:hanging="360"/>
      </w:pPr>
      <w:rPr>
        <w:u w:val="none"/>
      </w:rPr>
    </w:lvl>
    <w:lvl w:ilvl="1">
      <w:start w:val="1"/>
      <w:numFmt w:val="decimal"/>
      <w:lvlText w:val="%1.%2"/>
      <w:lvlJc w:val="left"/>
      <w:pPr>
        <w:ind w:left="525" w:hanging="525"/>
      </w:pPr>
      <w:rPr>
        <w:u w:val="none"/>
      </w:rPr>
    </w:lvl>
    <w:lvl w:ilvl="2">
      <w:start w:val="1"/>
      <w:numFmt w:val="decimal"/>
      <w:lvlText w:val="%1.%2.%3"/>
      <w:lvlJc w:val="left"/>
      <w:pPr>
        <w:ind w:left="720" w:hanging="720"/>
      </w:pPr>
      <w:rPr>
        <w:u w:val="none"/>
      </w:rPr>
    </w:lvl>
    <w:lvl w:ilvl="3">
      <w:start w:val="1"/>
      <w:numFmt w:val="decimal"/>
      <w:lvlText w:val="%1.%2.%3.%4"/>
      <w:lvlJc w:val="left"/>
      <w:pPr>
        <w:ind w:left="720" w:hanging="720"/>
      </w:pPr>
      <w:rPr>
        <w:u w:val="none"/>
      </w:rPr>
    </w:lvl>
    <w:lvl w:ilvl="4">
      <w:start w:val="1"/>
      <w:numFmt w:val="decimal"/>
      <w:lvlText w:val="%1.%2.%3.%4.%5"/>
      <w:lvlJc w:val="left"/>
      <w:pPr>
        <w:ind w:left="720" w:hanging="720"/>
      </w:pPr>
      <w:rPr>
        <w:u w:val="none"/>
      </w:rPr>
    </w:lvl>
    <w:lvl w:ilvl="5">
      <w:start w:val="1"/>
      <w:numFmt w:val="decimal"/>
      <w:lvlText w:val="%1.%2.%3.%4.%5.%6"/>
      <w:lvlJc w:val="left"/>
      <w:pPr>
        <w:ind w:left="1080" w:hanging="1080"/>
      </w:pPr>
      <w:rPr>
        <w:u w:val="none"/>
      </w:rPr>
    </w:lvl>
    <w:lvl w:ilvl="6">
      <w:start w:val="1"/>
      <w:numFmt w:val="decimal"/>
      <w:lvlText w:val="%1.%2.%3.%4.%5.%6.%7"/>
      <w:lvlJc w:val="left"/>
      <w:pPr>
        <w:ind w:left="1080" w:hanging="1080"/>
      </w:pPr>
      <w:rPr>
        <w:u w:val="none"/>
      </w:rPr>
    </w:lvl>
    <w:lvl w:ilvl="7">
      <w:start w:val="1"/>
      <w:numFmt w:val="decimal"/>
      <w:lvlText w:val="%1.%2.%3.%4.%5.%6.%7.%8"/>
      <w:lvlJc w:val="left"/>
      <w:pPr>
        <w:ind w:left="1440" w:hanging="1440"/>
      </w:pPr>
      <w:rPr>
        <w:u w:val="none"/>
      </w:rPr>
    </w:lvl>
    <w:lvl w:ilvl="8">
      <w:start w:val="1"/>
      <w:numFmt w:val="decimal"/>
      <w:lvlText w:val="%1.%2.%3.%4.%5.%6.%7.%8.%9"/>
      <w:lvlJc w:val="left"/>
      <w:pPr>
        <w:ind w:left="1440" w:hanging="1440"/>
      </w:pPr>
      <w:rPr>
        <w:u w:val="none"/>
      </w:rPr>
    </w:lvl>
  </w:abstractNum>
  <w:abstractNum w:abstractNumId="2" w15:restartNumberingAfterBreak="0">
    <w:nsid w:val="1A6F5652"/>
    <w:multiLevelType w:val="multilevel"/>
    <w:tmpl w:val="9A7E7F5E"/>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E15379B"/>
    <w:multiLevelType w:val="multilevel"/>
    <w:tmpl w:val="E5BAAC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E457866"/>
    <w:multiLevelType w:val="multilevel"/>
    <w:tmpl w:val="7CC64E58"/>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 w15:restartNumberingAfterBreak="0">
    <w:nsid w:val="26CC2529"/>
    <w:multiLevelType w:val="multilevel"/>
    <w:tmpl w:val="890AE0CC"/>
    <w:lvl w:ilvl="0">
      <w:start w:val="1"/>
      <w:numFmt w:val="bullet"/>
      <w:lvlText w:val="⇒"/>
      <w:lvlJc w:val="left"/>
      <w:pPr>
        <w:ind w:left="1619"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BD942E2"/>
    <w:multiLevelType w:val="multilevel"/>
    <w:tmpl w:val="27A07D44"/>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01B0A32"/>
    <w:multiLevelType w:val="multilevel"/>
    <w:tmpl w:val="A2F4E472"/>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58A57CE9"/>
    <w:multiLevelType w:val="multilevel"/>
    <w:tmpl w:val="97A05524"/>
    <w:lvl w:ilvl="0">
      <w:numFmt w:val="bullet"/>
      <w:lvlText w:val="-"/>
      <w:lvlJc w:val="left"/>
      <w:pPr>
        <w:ind w:left="1979" w:hanging="360"/>
      </w:pPr>
      <w:rPr>
        <w:u w:val="none"/>
      </w:rPr>
    </w:lvl>
    <w:lvl w:ilvl="1">
      <w:start w:val="1"/>
      <w:numFmt w:val="bullet"/>
      <w:lvlText w:val="o"/>
      <w:lvlJc w:val="left"/>
      <w:pPr>
        <w:ind w:left="2699" w:hanging="360"/>
      </w:pPr>
      <w:rPr>
        <w:u w:val="none"/>
      </w:rPr>
    </w:lvl>
    <w:lvl w:ilvl="2">
      <w:start w:val="1"/>
      <w:numFmt w:val="bullet"/>
      <w:lvlText w:val="▪"/>
      <w:lvlJc w:val="left"/>
      <w:pPr>
        <w:ind w:left="3419" w:hanging="360"/>
      </w:pPr>
      <w:rPr>
        <w:u w:val="none"/>
      </w:rPr>
    </w:lvl>
    <w:lvl w:ilvl="3">
      <w:start w:val="1"/>
      <w:numFmt w:val="bullet"/>
      <w:lvlText w:val="●"/>
      <w:lvlJc w:val="left"/>
      <w:pPr>
        <w:ind w:left="4139" w:hanging="360"/>
      </w:pPr>
      <w:rPr>
        <w:u w:val="none"/>
      </w:rPr>
    </w:lvl>
    <w:lvl w:ilvl="4">
      <w:start w:val="1"/>
      <w:numFmt w:val="bullet"/>
      <w:lvlText w:val="o"/>
      <w:lvlJc w:val="left"/>
      <w:pPr>
        <w:ind w:left="4859" w:hanging="360"/>
      </w:pPr>
      <w:rPr>
        <w:u w:val="none"/>
      </w:rPr>
    </w:lvl>
    <w:lvl w:ilvl="5">
      <w:start w:val="1"/>
      <w:numFmt w:val="bullet"/>
      <w:lvlText w:val="▪"/>
      <w:lvlJc w:val="left"/>
      <w:pPr>
        <w:ind w:left="5579" w:hanging="360"/>
      </w:pPr>
      <w:rPr>
        <w:u w:val="none"/>
      </w:rPr>
    </w:lvl>
    <w:lvl w:ilvl="6">
      <w:start w:val="1"/>
      <w:numFmt w:val="bullet"/>
      <w:lvlText w:val="●"/>
      <w:lvlJc w:val="left"/>
      <w:pPr>
        <w:ind w:left="6299" w:hanging="360"/>
      </w:pPr>
      <w:rPr>
        <w:u w:val="none"/>
      </w:rPr>
    </w:lvl>
    <w:lvl w:ilvl="7">
      <w:start w:val="1"/>
      <w:numFmt w:val="bullet"/>
      <w:lvlText w:val="o"/>
      <w:lvlJc w:val="left"/>
      <w:pPr>
        <w:ind w:left="7019" w:hanging="360"/>
      </w:pPr>
      <w:rPr>
        <w:u w:val="none"/>
      </w:rPr>
    </w:lvl>
    <w:lvl w:ilvl="8">
      <w:start w:val="1"/>
      <w:numFmt w:val="bullet"/>
      <w:lvlText w:val="▪"/>
      <w:lvlJc w:val="left"/>
      <w:pPr>
        <w:ind w:left="7739" w:hanging="360"/>
      </w:pPr>
      <w:rPr>
        <w:u w:val="none"/>
      </w:rPr>
    </w:lvl>
  </w:abstractNum>
  <w:abstractNum w:abstractNumId="9" w15:restartNumberingAfterBreak="0">
    <w:nsid w:val="5C4B6392"/>
    <w:multiLevelType w:val="hybridMultilevel"/>
    <w:tmpl w:val="F24011A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36A2E40"/>
    <w:multiLevelType w:val="multilevel"/>
    <w:tmpl w:val="085C21BA"/>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71B16FC4"/>
    <w:multiLevelType w:val="hybridMultilevel"/>
    <w:tmpl w:val="95A0A6EE"/>
    <w:lvl w:ilvl="0" w:tplc="17FA43D6">
      <w:numFmt w:val="bullet"/>
      <w:lvlText w:val="-"/>
      <w:lvlJc w:val="left"/>
      <w:pPr>
        <w:ind w:left="1979" w:hanging="360"/>
      </w:pPr>
      <w:rPr>
        <w:rFonts w:ascii="Aptos" w:eastAsiaTheme="minorEastAsia" w:hAnsi="Aptos" w:cstheme="minorBidi" w:hint="default"/>
      </w:rPr>
    </w:lvl>
    <w:lvl w:ilvl="1" w:tplc="FFFFFFFF" w:tentative="1">
      <w:start w:val="1"/>
      <w:numFmt w:val="bullet"/>
      <w:lvlText w:val="o"/>
      <w:lvlJc w:val="left"/>
      <w:pPr>
        <w:ind w:left="2699" w:hanging="360"/>
      </w:pPr>
      <w:rPr>
        <w:rFonts w:ascii="Courier New" w:hAnsi="Courier New" w:cs="Courier New" w:hint="default"/>
      </w:rPr>
    </w:lvl>
    <w:lvl w:ilvl="2" w:tplc="FFFFFFFF" w:tentative="1">
      <w:start w:val="1"/>
      <w:numFmt w:val="bullet"/>
      <w:lvlText w:val=""/>
      <w:lvlJc w:val="left"/>
      <w:pPr>
        <w:ind w:left="3419" w:hanging="360"/>
      </w:pPr>
      <w:rPr>
        <w:rFonts w:ascii="Wingdings" w:hAnsi="Wingdings" w:hint="default"/>
      </w:rPr>
    </w:lvl>
    <w:lvl w:ilvl="3" w:tplc="FFFFFFFF" w:tentative="1">
      <w:start w:val="1"/>
      <w:numFmt w:val="bullet"/>
      <w:lvlText w:val=""/>
      <w:lvlJc w:val="left"/>
      <w:pPr>
        <w:ind w:left="4139" w:hanging="360"/>
      </w:pPr>
      <w:rPr>
        <w:rFonts w:ascii="Symbol" w:hAnsi="Symbol" w:hint="default"/>
      </w:rPr>
    </w:lvl>
    <w:lvl w:ilvl="4" w:tplc="FFFFFFFF" w:tentative="1">
      <w:start w:val="1"/>
      <w:numFmt w:val="bullet"/>
      <w:lvlText w:val="o"/>
      <w:lvlJc w:val="left"/>
      <w:pPr>
        <w:ind w:left="4859" w:hanging="360"/>
      </w:pPr>
      <w:rPr>
        <w:rFonts w:ascii="Courier New" w:hAnsi="Courier New" w:cs="Courier New" w:hint="default"/>
      </w:rPr>
    </w:lvl>
    <w:lvl w:ilvl="5" w:tplc="FFFFFFFF" w:tentative="1">
      <w:start w:val="1"/>
      <w:numFmt w:val="bullet"/>
      <w:lvlText w:val=""/>
      <w:lvlJc w:val="left"/>
      <w:pPr>
        <w:ind w:left="5579" w:hanging="360"/>
      </w:pPr>
      <w:rPr>
        <w:rFonts w:ascii="Wingdings" w:hAnsi="Wingdings" w:hint="default"/>
      </w:rPr>
    </w:lvl>
    <w:lvl w:ilvl="6" w:tplc="FFFFFFFF" w:tentative="1">
      <w:start w:val="1"/>
      <w:numFmt w:val="bullet"/>
      <w:lvlText w:val=""/>
      <w:lvlJc w:val="left"/>
      <w:pPr>
        <w:ind w:left="6299" w:hanging="360"/>
      </w:pPr>
      <w:rPr>
        <w:rFonts w:ascii="Symbol" w:hAnsi="Symbol" w:hint="default"/>
      </w:rPr>
    </w:lvl>
    <w:lvl w:ilvl="7" w:tplc="FFFFFFFF" w:tentative="1">
      <w:start w:val="1"/>
      <w:numFmt w:val="bullet"/>
      <w:lvlText w:val="o"/>
      <w:lvlJc w:val="left"/>
      <w:pPr>
        <w:ind w:left="7019" w:hanging="360"/>
      </w:pPr>
      <w:rPr>
        <w:rFonts w:ascii="Courier New" w:hAnsi="Courier New" w:cs="Courier New" w:hint="default"/>
      </w:rPr>
    </w:lvl>
    <w:lvl w:ilvl="8" w:tplc="FFFFFFFF" w:tentative="1">
      <w:start w:val="1"/>
      <w:numFmt w:val="bullet"/>
      <w:lvlText w:val=""/>
      <w:lvlJc w:val="left"/>
      <w:pPr>
        <w:ind w:left="7739" w:hanging="360"/>
      </w:pPr>
      <w:rPr>
        <w:rFonts w:ascii="Wingdings" w:hAnsi="Wingdings" w:hint="default"/>
      </w:rPr>
    </w:lvl>
  </w:abstractNum>
  <w:abstractNum w:abstractNumId="12" w15:restartNumberingAfterBreak="0">
    <w:nsid w:val="7D3E7AC3"/>
    <w:multiLevelType w:val="hybridMultilevel"/>
    <w:tmpl w:val="D834FEDE"/>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num w:numId="1" w16cid:durableId="397440045">
    <w:abstractNumId w:val="7"/>
  </w:num>
  <w:num w:numId="2" w16cid:durableId="1023941802">
    <w:abstractNumId w:val="0"/>
  </w:num>
  <w:num w:numId="3" w16cid:durableId="822352657">
    <w:abstractNumId w:val="10"/>
  </w:num>
  <w:num w:numId="4" w16cid:durableId="426078075">
    <w:abstractNumId w:val="6"/>
  </w:num>
  <w:num w:numId="5" w16cid:durableId="2121414215">
    <w:abstractNumId w:val="3"/>
  </w:num>
  <w:num w:numId="6" w16cid:durableId="836505700">
    <w:abstractNumId w:val="5"/>
  </w:num>
  <w:num w:numId="7" w16cid:durableId="1360424143">
    <w:abstractNumId w:val="8"/>
  </w:num>
  <w:num w:numId="8" w16cid:durableId="2066440735">
    <w:abstractNumId w:val="2"/>
  </w:num>
  <w:num w:numId="9" w16cid:durableId="647055139">
    <w:abstractNumId w:val="4"/>
  </w:num>
  <w:num w:numId="10" w16cid:durableId="95291086">
    <w:abstractNumId w:val="1"/>
  </w:num>
  <w:num w:numId="11" w16cid:durableId="2092576829">
    <w:abstractNumId w:val="11"/>
  </w:num>
  <w:num w:numId="12" w16cid:durableId="1452284121">
    <w:abstractNumId w:val="12"/>
  </w:num>
  <w:num w:numId="13" w16cid:durableId="7992999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533C"/>
    <w:rsid w:val="000302D1"/>
    <w:rsid w:val="000A577D"/>
    <w:rsid w:val="000F454F"/>
    <w:rsid w:val="001023C8"/>
    <w:rsid w:val="00121773"/>
    <w:rsid w:val="001457DA"/>
    <w:rsid w:val="001464E2"/>
    <w:rsid w:val="001A533C"/>
    <w:rsid w:val="001D120E"/>
    <w:rsid w:val="00213C04"/>
    <w:rsid w:val="00237E05"/>
    <w:rsid w:val="00286BE3"/>
    <w:rsid w:val="00310951"/>
    <w:rsid w:val="003178CB"/>
    <w:rsid w:val="003A2060"/>
    <w:rsid w:val="003B02EC"/>
    <w:rsid w:val="003D22DF"/>
    <w:rsid w:val="004D2369"/>
    <w:rsid w:val="0056204F"/>
    <w:rsid w:val="005D01C2"/>
    <w:rsid w:val="005E5ADF"/>
    <w:rsid w:val="00614F08"/>
    <w:rsid w:val="00664664"/>
    <w:rsid w:val="00680921"/>
    <w:rsid w:val="006935FD"/>
    <w:rsid w:val="006D035A"/>
    <w:rsid w:val="006F29D9"/>
    <w:rsid w:val="007637F0"/>
    <w:rsid w:val="007922C5"/>
    <w:rsid w:val="00827D9C"/>
    <w:rsid w:val="00836597"/>
    <w:rsid w:val="00864D61"/>
    <w:rsid w:val="0088130D"/>
    <w:rsid w:val="008A5B1B"/>
    <w:rsid w:val="008F4D87"/>
    <w:rsid w:val="009028B8"/>
    <w:rsid w:val="00952877"/>
    <w:rsid w:val="009A3FA5"/>
    <w:rsid w:val="009B6183"/>
    <w:rsid w:val="00A225DB"/>
    <w:rsid w:val="00A63E99"/>
    <w:rsid w:val="00AA049B"/>
    <w:rsid w:val="00B403BF"/>
    <w:rsid w:val="00BF071F"/>
    <w:rsid w:val="00C05C90"/>
    <w:rsid w:val="00C40161"/>
    <w:rsid w:val="00C562E0"/>
    <w:rsid w:val="00C72FD3"/>
    <w:rsid w:val="00D13345"/>
    <w:rsid w:val="00D47415"/>
    <w:rsid w:val="00D9304F"/>
    <w:rsid w:val="00DA0AD3"/>
    <w:rsid w:val="00DB52D0"/>
    <w:rsid w:val="00DF59D0"/>
    <w:rsid w:val="00E15BFB"/>
    <w:rsid w:val="00EB0579"/>
    <w:rsid w:val="00EC19D2"/>
    <w:rsid w:val="00EF57DD"/>
    <w:rsid w:val="00F11495"/>
    <w:rsid w:val="00FB16D4"/>
    <w:rsid w:val="00FF5704"/>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ecimalSymbol w:val="."/>
  <w:listSeparator w:val=","/>
  <w14:docId w14:val="5D27F992"/>
  <w15:docId w15:val="{0561CD57-C940-3F4D-98D5-8A4976477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 w:eastAsia="ko-KR" w:bidi="ar-SA"/>
      </w:rPr>
    </w:rPrDefault>
    <w:pPrDefault>
      <w:pPr>
        <w:tabs>
          <w:tab w:val="left" w:pos="721"/>
        </w:tab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single" w:sz="12" w:space="3" w:color="000000"/>
      </w:pBdr>
      <w:tabs>
        <w:tab w:val="left" w:pos="1134"/>
        <w:tab w:val="left" w:pos="1165"/>
        <w:tab w:val="left" w:pos="0"/>
      </w:tabs>
      <w:spacing w:before="240" w:after="180"/>
      <w:outlineLvl w:val="0"/>
    </w:pPr>
    <w:rPr>
      <w:rFonts w:ascii="Arial" w:eastAsia="Arial" w:hAnsi="Arial" w:cs="Arial"/>
      <w:sz w:val="36"/>
      <w:szCs w:val="36"/>
    </w:rPr>
  </w:style>
  <w:style w:type="paragraph" w:styleId="Heading2">
    <w:name w:val="heading 2"/>
    <w:basedOn w:val="Normal"/>
    <w:next w:val="Normal"/>
    <w:uiPriority w:val="9"/>
    <w:unhideWhenUsed/>
    <w:qFormat/>
    <w:pPr>
      <w:keepNext/>
      <w:keepLines/>
      <w:pBdr>
        <w:top w:val="none" w:sz="0" w:space="0" w:color="000000"/>
      </w:pBdr>
      <w:tabs>
        <w:tab w:val="left" w:pos="1"/>
      </w:tabs>
      <w:spacing w:before="180" w:after="180"/>
      <w:ind w:left="1170"/>
      <w:outlineLvl w:val="1"/>
    </w:pPr>
    <w:rPr>
      <w:rFonts w:ascii="Arial" w:eastAsia="Arial" w:hAnsi="Arial" w:cs="Arial"/>
      <w:sz w:val="32"/>
      <w:szCs w:val="32"/>
    </w:rPr>
  </w:style>
  <w:style w:type="paragraph" w:styleId="Heading3">
    <w:name w:val="heading 3"/>
    <w:basedOn w:val="Normal"/>
    <w:next w:val="Normal"/>
    <w:uiPriority w:val="9"/>
    <w:unhideWhenUsed/>
    <w:qFormat/>
    <w:pPr>
      <w:keepNext/>
      <w:keepLines/>
      <w:pBdr>
        <w:top w:val="none" w:sz="0" w:space="0" w:color="000000"/>
      </w:pBdr>
      <w:tabs>
        <w:tab w:val="left" w:pos="1441"/>
      </w:tabs>
      <w:spacing w:before="120" w:after="180"/>
      <w:outlineLvl w:val="2"/>
    </w:pPr>
    <w:rPr>
      <w:rFonts w:ascii="Arial" w:eastAsia="Arial" w:hAnsi="Arial" w:cs="Arial"/>
      <w:sz w:val="28"/>
      <w:szCs w:val="28"/>
    </w:rPr>
  </w:style>
  <w:style w:type="paragraph" w:styleId="Heading4">
    <w:name w:val="heading 4"/>
    <w:basedOn w:val="Normal"/>
    <w:next w:val="Normal"/>
    <w:uiPriority w:val="9"/>
    <w:unhideWhenUsed/>
    <w:qFormat/>
    <w:pPr>
      <w:keepNext/>
      <w:keepLines/>
      <w:pBdr>
        <w:top w:val="none" w:sz="0" w:space="0" w:color="000000"/>
        <w:left w:val="nil"/>
        <w:bottom w:val="nil"/>
        <w:right w:val="nil"/>
        <w:between w:val="nil"/>
      </w:pBdr>
      <w:tabs>
        <w:tab w:val="left" w:pos="1530"/>
      </w:tabs>
      <w:spacing w:before="120" w:after="120"/>
      <w:ind w:left="1441" w:hanging="1418"/>
      <w:outlineLvl w:val="3"/>
    </w:pPr>
    <w:rPr>
      <w:rFonts w:ascii="Arial" w:eastAsia="Arial" w:hAnsi="Arial" w:cs="Arial"/>
      <w:color w:val="000000"/>
      <w:sz w:val="24"/>
      <w:szCs w:val="24"/>
    </w:rPr>
  </w:style>
  <w:style w:type="paragraph" w:styleId="Heading5">
    <w:name w:val="heading 5"/>
    <w:basedOn w:val="Normal"/>
    <w:next w:val="Normal"/>
    <w:uiPriority w:val="9"/>
    <w:semiHidden/>
    <w:unhideWhenUsed/>
    <w:qFormat/>
    <w:pPr>
      <w:keepNext/>
      <w:keepLines/>
      <w:pBdr>
        <w:top w:val="none" w:sz="0" w:space="0" w:color="000000"/>
        <w:left w:val="nil"/>
        <w:bottom w:val="nil"/>
        <w:right w:val="nil"/>
        <w:between w:val="nil"/>
      </w:pBdr>
      <w:tabs>
        <w:tab w:val="left" w:pos="1530"/>
      </w:tabs>
      <w:spacing w:before="240" w:after="120"/>
      <w:ind w:left="1560" w:hanging="1560"/>
      <w:outlineLvl w:val="4"/>
    </w:pPr>
    <w:rPr>
      <w:rFonts w:ascii="Arial" w:eastAsia="Arial" w:hAnsi="Arial" w:cs="Arial"/>
      <w:color w:val="000000"/>
      <w:sz w:val="24"/>
      <w:szCs w:val="24"/>
    </w:rPr>
  </w:style>
  <w:style w:type="paragraph" w:styleId="Heading6">
    <w:name w:val="heading 6"/>
    <w:basedOn w:val="Normal"/>
    <w:next w:val="Normal"/>
    <w:uiPriority w:val="9"/>
    <w:semiHidden/>
    <w:unhideWhenUsed/>
    <w:qFormat/>
    <w:pPr>
      <w:keepNext/>
      <w:keepLines/>
      <w:pBdr>
        <w:top w:val="none" w:sz="0" w:space="0" w:color="000000"/>
        <w:left w:val="nil"/>
        <w:bottom w:val="nil"/>
        <w:right w:val="nil"/>
        <w:between w:val="nil"/>
      </w:pBdr>
      <w:tabs>
        <w:tab w:val="left" w:pos="1530"/>
      </w:tabs>
      <w:spacing w:before="240" w:after="120"/>
      <w:ind w:left="1985" w:hanging="1985"/>
      <w:outlineLvl w:val="5"/>
    </w:pPr>
    <w:rPr>
      <w:rFonts w:ascii="Arial" w:eastAsia="Arial" w:hAnsi="Arial" w:cs="Arial"/>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Pr>
  </w:style>
  <w:style w:type="paragraph" w:styleId="ListParagraph">
    <w:name w:val="List Paragraph"/>
    <w:basedOn w:val="Normal"/>
    <w:uiPriority w:val="34"/>
    <w:qFormat/>
    <w:rsid w:val="00827D9C"/>
    <w:pPr>
      <w:ind w:left="720"/>
      <w:contextualSpacing/>
    </w:pPr>
  </w:style>
  <w:style w:type="paragraph" w:styleId="NoSpacing">
    <w:name w:val="No Spacing"/>
    <w:uiPriority w:val="1"/>
    <w:qFormat/>
    <w:rsid w:val="00827D9C"/>
  </w:style>
  <w:style w:type="table" w:styleId="TableGrid">
    <w:name w:val="Table Grid"/>
    <w:basedOn w:val="TableNormal"/>
    <w:uiPriority w:val="39"/>
    <w:rsid w:val="005620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56204F"/>
    <w:pPr>
      <w:tabs>
        <w:tab w:val="clear" w:pos="721"/>
        <w:tab w:val="left" w:pos="1622"/>
      </w:tabs>
      <w:overflowPunct w:val="0"/>
      <w:autoSpaceDE w:val="0"/>
      <w:autoSpaceDN w:val="0"/>
      <w:adjustRightInd w:val="0"/>
      <w:ind w:left="1622" w:hanging="363"/>
      <w:textAlignment w:val="baseline"/>
    </w:pPr>
    <w:rPr>
      <w:rFonts w:ascii="Arial" w:hAnsi="Arial"/>
      <w:lang w:val="en-GB" w:eastAsia="ja-JP"/>
    </w:rPr>
  </w:style>
  <w:style w:type="character" w:customStyle="1" w:styleId="Doc-text2Char">
    <w:name w:val="Doc-text2 Char"/>
    <w:link w:val="Doc-text2"/>
    <w:qFormat/>
    <w:rsid w:val="0056204F"/>
    <w:rPr>
      <w:rFonts w:ascii="Arial" w:hAnsi="Arial"/>
      <w:lang w:val="en-GB" w:eastAsia="ja-JP"/>
    </w:rPr>
  </w:style>
  <w:style w:type="paragraph" w:customStyle="1" w:styleId="Style1">
    <w:name w:val="Style1"/>
    <w:basedOn w:val="Normal"/>
    <w:qFormat/>
    <w:rsid w:val="0056204F"/>
    <w:pPr>
      <w:pBdr>
        <w:top w:val="nil"/>
        <w:left w:val="nil"/>
        <w:bottom w:val="nil"/>
        <w:right w:val="nil"/>
        <w:between w:val="nil"/>
      </w:pBdr>
      <w:tabs>
        <w:tab w:val="left" w:pos="0"/>
      </w:tabs>
      <w:ind w:left="1701" w:hanging="1701"/>
    </w:pPr>
    <w:rPr>
      <w:b/>
      <w:color w:val="000000"/>
    </w:rPr>
  </w:style>
  <w:style w:type="paragraph" w:styleId="Header">
    <w:name w:val="header"/>
    <w:basedOn w:val="Normal"/>
    <w:link w:val="HeaderChar"/>
    <w:uiPriority w:val="99"/>
    <w:rsid w:val="00680921"/>
    <w:pPr>
      <w:widowControl w:val="0"/>
      <w:tabs>
        <w:tab w:val="clear" w:pos="721"/>
        <w:tab w:val="left" w:pos="1701"/>
        <w:tab w:val="right" w:pos="9923"/>
      </w:tabs>
      <w:spacing w:before="120"/>
    </w:pPr>
    <w:rPr>
      <w:rFonts w:ascii="Arial" w:eastAsia="MS Mincho" w:hAnsi="Arial"/>
      <w:b/>
      <w:sz w:val="24"/>
      <w:szCs w:val="24"/>
      <w:lang w:val="de-DE" w:eastAsia="x-none"/>
    </w:rPr>
  </w:style>
  <w:style w:type="character" w:customStyle="1" w:styleId="HeaderChar">
    <w:name w:val="Header Char"/>
    <w:basedOn w:val="DefaultParagraphFont"/>
    <w:link w:val="Header"/>
    <w:uiPriority w:val="99"/>
    <w:rsid w:val="00680921"/>
    <w:rPr>
      <w:rFonts w:ascii="Arial" w:eastAsia="MS Mincho" w:hAnsi="Arial"/>
      <w:b/>
      <w:sz w:val="24"/>
      <w:szCs w:val="24"/>
      <w:lang w:val="de-DE" w:eastAsia="x-none"/>
    </w:rPr>
  </w:style>
  <w:style w:type="paragraph" w:styleId="Revision">
    <w:name w:val="Revision"/>
    <w:hidden/>
    <w:uiPriority w:val="99"/>
    <w:semiHidden/>
    <w:rsid w:val="005D01C2"/>
    <w:pPr>
      <w:tabs>
        <w:tab w:val="clear" w:pos="721"/>
      </w:tabs>
    </w:pPr>
  </w:style>
  <w:style w:type="character" w:styleId="Strong">
    <w:name w:val="Strong"/>
    <w:basedOn w:val="DefaultParagraphFont"/>
    <w:uiPriority w:val="22"/>
    <w:qFormat/>
    <w:rsid w:val="0012177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7F09FE-CB20-A146-910B-6A53062CB2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7436</Words>
  <Characters>42388</Characters>
  <Application>Microsoft Office Word</Application>
  <DocSecurity>0</DocSecurity>
  <Lines>353</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Jonggil Nam</cp:lastModifiedBy>
  <cp:revision>5</cp:revision>
  <dcterms:created xsi:type="dcterms:W3CDTF">2025-11-07T05:29:00Z</dcterms:created>
  <dcterms:modified xsi:type="dcterms:W3CDTF">2025-11-07T06:14:00Z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25d08eee,451ae69,4c73dd20</vt:lpwstr>
  </property>
  <property fmtid="{D5CDD505-2E9C-101B-9397-08002B2CF9AE}" pid="3" name="ClassificationContentMarkingHeaderFontProps">
    <vt:lpwstr>#000000,12,Calibri</vt:lpwstr>
  </property>
  <property fmtid="{D5CDD505-2E9C-101B-9397-08002B2CF9AE}" pid="4" name="ClassificationContentMarkingHeaderText">
    <vt:lpwstr>LGE Internal Use Only</vt:lpwstr>
  </property>
  <property fmtid="{D5CDD505-2E9C-101B-9397-08002B2CF9AE}" pid="5" name="MSIP_Label_cc6ed9fc-fefc-4a0c-a6d6-10cf236c0d4f_Enabled">
    <vt:lpwstr>true</vt:lpwstr>
  </property>
  <property fmtid="{D5CDD505-2E9C-101B-9397-08002B2CF9AE}" pid="6" name="MSIP_Label_cc6ed9fc-fefc-4a0c-a6d6-10cf236c0d4f_SetDate">
    <vt:lpwstr>2025-09-22T00:59:29Z</vt:lpwstr>
  </property>
  <property fmtid="{D5CDD505-2E9C-101B-9397-08002B2CF9AE}" pid="7" name="MSIP_Label_cc6ed9fc-fefc-4a0c-a6d6-10cf236c0d4f_Method">
    <vt:lpwstr>Standard</vt:lpwstr>
  </property>
  <property fmtid="{D5CDD505-2E9C-101B-9397-08002B2CF9AE}" pid="8" name="MSIP_Label_cc6ed9fc-fefc-4a0c-a6d6-10cf236c0d4f_Name">
    <vt:lpwstr>Internal use only</vt:lpwstr>
  </property>
  <property fmtid="{D5CDD505-2E9C-101B-9397-08002B2CF9AE}" pid="9" name="MSIP_Label_cc6ed9fc-fefc-4a0c-a6d6-10cf236c0d4f_SiteId">
    <vt:lpwstr>5069cde4-642a-45c0-8094-d0c2dec10be3</vt:lpwstr>
  </property>
  <property fmtid="{D5CDD505-2E9C-101B-9397-08002B2CF9AE}" pid="10" name="MSIP_Label_cc6ed9fc-fefc-4a0c-a6d6-10cf236c0d4f_ActionId">
    <vt:lpwstr>bb3f8b3a-90f9-45e4-8bb7-06bba933ac19</vt:lpwstr>
  </property>
  <property fmtid="{D5CDD505-2E9C-101B-9397-08002B2CF9AE}" pid="11" name="MSIP_Label_cc6ed9fc-fefc-4a0c-a6d6-10cf236c0d4f_ContentBits">
    <vt:lpwstr>1</vt:lpwstr>
  </property>
</Properties>
</file>